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8"/>
          <w:szCs w:val="28"/>
        </w:rPr>
      </w:pPr>
      <w:bookmarkStart w:id="0" w:name="_GoBack"/>
      <w:bookmarkEnd w:id="0"/>
      <w:r w:rsidRPr="00440E3F">
        <w:rPr>
          <w:rFonts w:ascii="Times New Roman" w:eastAsiaTheme="majorEastAsia" w:hAnsi="Times New Roman" w:cs="Times New Roman"/>
          <w:b/>
          <w:bCs/>
          <w:color w:val="365F91" w:themeColor="accent1" w:themeShade="BF"/>
          <w:sz w:val="28"/>
          <w:szCs w:val="28"/>
        </w:rPr>
        <w:t xml:space="preserve">Pravidla dotačního řízení hlavního města Prahy pro rok </w:t>
      </w:r>
      <w:r w:rsidRPr="00D97C8E">
        <w:rPr>
          <w:rFonts w:ascii="Times New Roman" w:eastAsiaTheme="majorEastAsia" w:hAnsi="Times New Roman" w:cs="Times New Roman"/>
          <w:b/>
          <w:bCs/>
          <w:color w:val="365F91" w:themeColor="accent1" w:themeShade="BF"/>
          <w:sz w:val="28"/>
          <w:szCs w:val="28"/>
        </w:rPr>
        <w:t>201</w:t>
      </w:r>
      <w:r w:rsidR="007157BE" w:rsidRPr="00D97C8E">
        <w:rPr>
          <w:rFonts w:ascii="Times New Roman" w:eastAsiaTheme="majorEastAsia" w:hAnsi="Times New Roman" w:cs="Times New Roman"/>
          <w:b/>
          <w:bCs/>
          <w:color w:val="365F91" w:themeColor="accent1" w:themeShade="BF"/>
          <w:sz w:val="28"/>
          <w:szCs w:val="28"/>
        </w:rPr>
        <w:t>7</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8"/>
          <w:szCs w:val="28"/>
        </w:rPr>
      </w:pPr>
      <w:r w:rsidRPr="00440E3F">
        <w:rPr>
          <w:rFonts w:ascii="Times New Roman" w:eastAsiaTheme="majorEastAsia" w:hAnsi="Times New Roman" w:cs="Times New Roman"/>
          <w:b/>
          <w:bCs/>
          <w:color w:val="365F91" w:themeColor="accent1" w:themeShade="BF"/>
          <w:sz w:val="28"/>
          <w:szCs w:val="28"/>
        </w:rPr>
        <w:t>v působnosti odboru zdravotnictví, sociální péče a prevence</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8"/>
          <w:szCs w:val="28"/>
        </w:rPr>
      </w:pPr>
      <w:r w:rsidRPr="00440E3F">
        <w:rPr>
          <w:rFonts w:ascii="Times New Roman" w:eastAsiaTheme="majorEastAsia" w:hAnsi="Times New Roman" w:cs="Times New Roman"/>
          <w:b/>
          <w:bCs/>
          <w:color w:val="365F91" w:themeColor="accent1" w:themeShade="BF"/>
          <w:sz w:val="28"/>
          <w:szCs w:val="28"/>
        </w:rPr>
        <w:t>Magistrátu hlavního města Prahy</w:t>
      </w:r>
    </w:p>
    <w:p w:rsidR="00440E3F" w:rsidRPr="00440E3F" w:rsidRDefault="00440E3F" w:rsidP="00440E3F">
      <w:pPr>
        <w:spacing w:after="0" w:line="240" w:lineRule="auto"/>
        <w:ind w:left="714" w:hanging="357"/>
        <w:jc w:val="center"/>
        <w:rPr>
          <w:rFonts w:ascii="Times New Roman" w:hAnsi="Times New Roman" w:cs="Times New Roman"/>
          <w:color w:val="365F91" w:themeColor="accent1" w:themeShade="BF"/>
          <w:sz w:val="28"/>
          <w:szCs w:val="28"/>
        </w:rPr>
      </w:pPr>
      <w:r w:rsidRPr="00440E3F">
        <w:rPr>
          <w:rFonts w:ascii="Times New Roman" w:hAnsi="Times New Roman" w:cs="Times New Roman"/>
          <w:color w:val="365F91" w:themeColor="accent1" w:themeShade="BF"/>
          <w:sz w:val="28"/>
          <w:szCs w:val="28"/>
        </w:rPr>
        <w:t xml:space="preserve">(dále jen </w:t>
      </w:r>
      <w:r w:rsidRPr="00440E3F">
        <w:rPr>
          <w:rFonts w:ascii="Times New Roman" w:hAnsi="Times New Roman" w:cs="Times New Roman"/>
          <w:i/>
          <w:color w:val="365F91" w:themeColor="accent1" w:themeShade="BF"/>
          <w:sz w:val="28"/>
          <w:szCs w:val="28"/>
        </w:rPr>
        <w:t>„Pravidla“</w:t>
      </w:r>
      <w:r w:rsidRPr="00440E3F">
        <w:rPr>
          <w:rFonts w:ascii="Times New Roman" w:hAnsi="Times New Roman" w:cs="Times New Roman"/>
          <w:color w:val="365F91" w:themeColor="accent1" w:themeShade="BF"/>
          <w:sz w:val="28"/>
          <w:szCs w:val="28"/>
        </w:rPr>
        <w:t>)</w:t>
      </w:r>
    </w:p>
    <w:p w:rsidR="00440E3F" w:rsidRPr="00440E3F" w:rsidRDefault="00440E3F" w:rsidP="00440E3F">
      <w:pPr>
        <w:spacing w:after="0" w:line="240" w:lineRule="auto"/>
        <w:ind w:left="714" w:hanging="357"/>
        <w:jc w:val="both"/>
        <w:rPr>
          <w:rFonts w:ascii="Times New Roman" w:hAnsi="Times New Roman" w:cs="Times New Roman"/>
        </w:rPr>
      </w:pPr>
    </w:p>
    <w:p w:rsidR="00440E3F" w:rsidRPr="00440E3F" w:rsidRDefault="00440E3F" w:rsidP="00440E3F">
      <w:pPr>
        <w:spacing w:after="0" w:line="240" w:lineRule="auto"/>
        <w:ind w:left="714" w:hanging="357"/>
        <w:jc w:val="both"/>
        <w:rPr>
          <w:rFonts w:ascii="Times New Roman" w:hAnsi="Times New Roman" w:cs="Times New Roman"/>
        </w:rPr>
      </w:pPr>
    </w:p>
    <w:p w:rsidR="00440E3F" w:rsidRPr="00440E3F" w:rsidRDefault="00626222" w:rsidP="00440E3F">
      <w:pPr>
        <w:spacing w:after="0" w:line="240" w:lineRule="auto"/>
        <w:ind w:left="714" w:hanging="357"/>
        <w:jc w:val="center"/>
        <w:rPr>
          <w:rFonts w:ascii="Times New Roman" w:hAnsi="Times New Roman" w:cs="Times New Roman"/>
          <w:b/>
          <w:sz w:val="28"/>
          <w:szCs w:val="28"/>
        </w:rPr>
      </w:pPr>
      <w:r>
        <w:rPr>
          <w:rFonts w:ascii="Times New Roman" w:hAnsi="Times New Roman" w:cs="Times New Roman"/>
          <w:b/>
          <w:sz w:val="28"/>
          <w:szCs w:val="28"/>
        </w:rPr>
        <w:t>Dotační program</w:t>
      </w:r>
      <w:r w:rsidR="00440E3F" w:rsidRPr="00440E3F">
        <w:rPr>
          <w:rFonts w:ascii="Times New Roman" w:hAnsi="Times New Roman" w:cs="Times New Roman"/>
          <w:b/>
          <w:sz w:val="28"/>
          <w:szCs w:val="28"/>
        </w:rPr>
        <w:t>:</w:t>
      </w:r>
    </w:p>
    <w:p w:rsidR="00741057" w:rsidRPr="00BD17EB" w:rsidRDefault="00BD17EB" w:rsidP="00741057">
      <w:pPr>
        <w:pStyle w:val="Default"/>
        <w:jc w:val="center"/>
        <w:rPr>
          <w:rFonts w:ascii="Times New Roman" w:hAnsi="Times New Roman" w:cs="Times New Roman"/>
          <w:b/>
          <w:sz w:val="28"/>
          <w:szCs w:val="28"/>
        </w:rPr>
      </w:pPr>
      <w:r w:rsidRPr="00BD17EB">
        <w:rPr>
          <w:rFonts w:ascii="Times New Roman" w:hAnsi="Times New Roman" w:cs="Times New Roman"/>
          <w:b/>
          <w:iCs/>
          <w:sz w:val="28"/>
          <w:szCs w:val="28"/>
        </w:rPr>
        <w:t>Ke s</w:t>
      </w:r>
      <w:r w:rsidR="00741057" w:rsidRPr="00BD17EB">
        <w:rPr>
          <w:rFonts w:ascii="Times New Roman" w:hAnsi="Times New Roman" w:cs="Times New Roman"/>
          <w:b/>
          <w:iCs/>
          <w:sz w:val="28"/>
          <w:szCs w:val="28"/>
        </w:rPr>
        <w:t>tabilizac</w:t>
      </w:r>
      <w:r w:rsidRPr="00BD17EB">
        <w:rPr>
          <w:rFonts w:ascii="Times New Roman" w:hAnsi="Times New Roman" w:cs="Times New Roman"/>
          <w:b/>
          <w:iCs/>
          <w:sz w:val="28"/>
          <w:szCs w:val="28"/>
        </w:rPr>
        <w:t>i</w:t>
      </w:r>
      <w:r w:rsidR="00741057" w:rsidRPr="00BD17EB">
        <w:rPr>
          <w:rFonts w:ascii="Times New Roman" w:hAnsi="Times New Roman" w:cs="Times New Roman"/>
          <w:b/>
          <w:iCs/>
          <w:sz w:val="28"/>
          <w:szCs w:val="28"/>
        </w:rPr>
        <w:t xml:space="preserve"> vybraných zdravotnických nelékařských pracovníků ve směnném provozu</w:t>
      </w:r>
    </w:p>
    <w:p w:rsidR="00741057" w:rsidRPr="00BD17EB" w:rsidRDefault="00741057" w:rsidP="00741057">
      <w:pPr>
        <w:pStyle w:val="Default"/>
        <w:jc w:val="center"/>
        <w:rPr>
          <w:rFonts w:ascii="Times New Roman" w:hAnsi="Times New Roman" w:cs="Times New Roman"/>
          <w:b/>
        </w:rPr>
      </w:pPr>
    </w:p>
    <w:p w:rsidR="00440E3F" w:rsidRPr="00BD17EB" w:rsidRDefault="00440E3F" w:rsidP="00440E3F">
      <w:pPr>
        <w:spacing w:after="0" w:line="240" w:lineRule="auto"/>
        <w:ind w:left="425" w:hanging="425"/>
        <w:jc w:val="both"/>
        <w:rPr>
          <w:rFonts w:ascii="Times New Roman" w:hAnsi="Times New Roman" w:cs="Times New Roman"/>
          <w:sz w:val="24"/>
          <w:szCs w:val="24"/>
        </w:rPr>
      </w:pPr>
    </w:p>
    <w:p w:rsidR="00440E3F" w:rsidRPr="009750EB" w:rsidRDefault="00440E3F" w:rsidP="00A43B83">
      <w:pPr>
        <w:spacing w:after="0" w:line="240" w:lineRule="auto"/>
        <w:jc w:val="both"/>
        <w:rPr>
          <w:rFonts w:ascii="Times New Roman" w:hAnsi="Times New Roman" w:cs="Times New Roman"/>
          <w:sz w:val="24"/>
          <w:szCs w:val="24"/>
        </w:rPr>
      </w:pPr>
      <w:r w:rsidRPr="009750EB">
        <w:rPr>
          <w:rFonts w:ascii="Times New Roman" w:hAnsi="Times New Roman" w:cs="Times New Roman"/>
          <w:sz w:val="24"/>
          <w:szCs w:val="24"/>
        </w:rPr>
        <w:t>Hlavní město Praha (dále jen „</w:t>
      </w:r>
      <w:r w:rsidRPr="009750EB">
        <w:rPr>
          <w:rFonts w:ascii="Times New Roman" w:hAnsi="Times New Roman" w:cs="Times New Roman"/>
          <w:i/>
          <w:sz w:val="24"/>
          <w:szCs w:val="24"/>
        </w:rPr>
        <w:t>HMP</w:t>
      </w:r>
      <w:r w:rsidRPr="009750EB">
        <w:rPr>
          <w:rFonts w:ascii="Times New Roman" w:hAnsi="Times New Roman" w:cs="Times New Roman"/>
          <w:sz w:val="24"/>
          <w:szCs w:val="24"/>
        </w:rPr>
        <w:t xml:space="preserve">“) na základě </w:t>
      </w:r>
      <w:r w:rsidR="003A7FE8" w:rsidRPr="009750EB">
        <w:rPr>
          <w:rFonts w:ascii="Times New Roman" w:hAnsi="Times New Roman" w:cs="Times New Roman"/>
          <w:sz w:val="24"/>
          <w:szCs w:val="24"/>
        </w:rPr>
        <w:t>zákona č. 250/2000 Sb., o rozpočtových pravidlech územních rozpočtů, ve znění pozdějších předpisů (dále jen „</w:t>
      </w:r>
      <w:r w:rsidR="003A7FE8" w:rsidRPr="009750EB">
        <w:rPr>
          <w:rFonts w:ascii="Times New Roman" w:hAnsi="Times New Roman" w:cs="Times New Roman"/>
          <w:i/>
          <w:sz w:val="24"/>
          <w:szCs w:val="24"/>
        </w:rPr>
        <w:t>zákon o rozpočtových pravidlech územních rozpočtů</w:t>
      </w:r>
      <w:r w:rsidR="003A7FE8" w:rsidRPr="009750EB">
        <w:rPr>
          <w:rFonts w:ascii="Times New Roman" w:hAnsi="Times New Roman" w:cs="Times New Roman"/>
          <w:sz w:val="24"/>
          <w:szCs w:val="24"/>
        </w:rPr>
        <w:t>“)</w:t>
      </w:r>
      <w:r w:rsidR="00BD17EB">
        <w:rPr>
          <w:rFonts w:ascii="Times New Roman" w:hAnsi="Times New Roman" w:cs="Times New Roman"/>
          <w:sz w:val="24"/>
          <w:szCs w:val="24"/>
        </w:rPr>
        <w:t>,</w:t>
      </w:r>
      <w:r w:rsidR="003A7FE8" w:rsidRPr="009750EB">
        <w:rPr>
          <w:rFonts w:ascii="Times New Roman" w:hAnsi="Times New Roman" w:cs="Times New Roman"/>
          <w:sz w:val="24"/>
          <w:szCs w:val="24"/>
        </w:rPr>
        <w:t xml:space="preserve"> </w:t>
      </w:r>
      <w:r w:rsidRPr="009750EB">
        <w:rPr>
          <w:rFonts w:ascii="Times New Roman" w:hAnsi="Times New Roman" w:cs="Times New Roman"/>
          <w:sz w:val="24"/>
          <w:szCs w:val="24"/>
        </w:rPr>
        <w:t xml:space="preserve">zákona č. </w:t>
      </w:r>
      <w:r w:rsidR="00411317" w:rsidRPr="009750EB">
        <w:rPr>
          <w:rFonts w:ascii="Times New Roman" w:hAnsi="Times New Roman" w:cs="Times New Roman"/>
          <w:sz w:val="24"/>
          <w:szCs w:val="24"/>
        </w:rPr>
        <w:t>372/2</w:t>
      </w:r>
      <w:r w:rsidRPr="009750EB">
        <w:rPr>
          <w:rFonts w:ascii="Times New Roman" w:hAnsi="Times New Roman" w:cs="Times New Roman"/>
          <w:sz w:val="24"/>
          <w:szCs w:val="24"/>
        </w:rPr>
        <w:t>0</w:t>
      </w:r>
      <w:r w:rsidR="00411317" w:rsidRPr="009750EB">
        <w:rPr>
          <w:rFonts w:ascii="Times New Roman" w:hAnsi="Times New Roman" w:cs="Times New Roman"/>
          <w:sz w:val="24"/>
          <w:szCs w:val="24"/>
        </w:rPr>
        <w:t>11</w:t>
      </w:r>
      <w:r w:rsidRPr="009750EB">
        <w:rPr>
          <w:rFonts w:ascii="Times New Roman" w:hAnsi="Times New Roman" w:cs="Times New Roman"/>
          <w:sz w:val="24"/>
          <w:szCs w:val="24"/>
        </w:rPr>
        <w:t xml:space="preserve"> Sb.,</w:t>
      </w:r>
      <w:r w:rsidR="00A43B83" w:rsidRPr="009750EB">
        <w:rPr>
          <w:rFonts w:ascii="Times New Roman" w:hAnsi="Times New Roman" w:cs="Times New Roman"/>
        </w:rPr>
        <w:t xml:space="preserve"> </w:t>
      </w:r>
      <w:r w:rsidR="00A43B83" w:rsidRPr="009750EB">
        <w:rPr>
          <w:rFonts w:ascii="Times New Roman" w:hAnsi="Times New Roman" w:cs="Times New Roman"/>
          <w:sz w:val="24"/>
          <w:szCs w:val="24"/>
        </w:rPr>
        <w:t>o zdravotních službách a podmínkách jejich poskytování (zákon o zdravotních službách)</w:t>
      </w:r>
      <w:r w:rsidRPr="009750EB">
        <w:rPr>
          <w:rFonts w:ascii="Times New Roman" w:hAnsi="Times New Roman" w:cs="Times New Roman"/>
          <w:sz w:val="24"/>
          <w:szCs w:val="24"/>
        </w:rPr>
        <w:t>, ve znění pozdějších předpisů (dále jen „</w:t>
      </w:r>
      <w:r w:rsidRPr="009750EB">
        <w:rPr>
          <w:rFonts w:ascii="Times New Roman" w:hAnsi="Times New Roman" w:cs="Times New Roman"/>
          <w:i/>
          <w:sz w:val="24"/>
          <w:szCs w:val="24"/>
        </w:rPr>
        <w:t xml:space="preserve">zákon o </w:t>
      </w:r>
      <w:r w:rsidR="00A43B83" w:rsidRPr="009750EB">
        <w:rPr>
          <w:rFonts w:ascii="Times New Roman" w:hAnsi="Times New Roman" w:cs="Times New Roman"/>
          <w:i/>
          <w:sz w:val="24"/>
          <w:szCs w:val="24"/>
        </w:rPr>
        <w:t>zdravotních</w:t>
      </w:r>
      <w:r w:rsidRPr="009750EB">
        <w:rPr>
          <w:rFonts w:ascii="Times New Roman" w:hAnsi="Times New Roman" w:cs="Times New Roman"/>
          <w:i/>
          <w:sz w:val="24"/>
          <w:szCs w:val="24"/>
        </w:rPr>
        <w:t xml:space="preserve"> službách</w:t>
      </w:r>
      <w:r w:rsidRPr="009750EB">
        <w:rPr>
          <w:rFonts w:ascii="Times New Roman" w:hAnsi="Times New Roman" w:cs="Times New Roman"/>
          <w:sz w:val="24"/>
          <w:szCs w:val="24"/>
        </w:rPr>
        <w:t>“)</w:t>
      </w:r>
      <w:r w:rsidR="00BD17EB">
        <w:rPr>
          <w:rFonts w:ascii="Times New Roman" w:hAnsi="Times New Roman" w:cs="Times New Roman"/>
          <w:sz w:val="24"/>
          <w:szCs w:val="24"/>
        </w:rPr>
        <w:t xml:space="preserve">, </w:t>
      </w:r>
      <w:r w:rsidR="00BD17EB" w:rsidRPr="00BD17EB">
        <w:rPr>
          <w:rFonts w:ascii="Times New Roman" w:hAnsi="Times New Roman" w:cs="Times New Roman"/>
          <w:sz w:val="24"/>
          <w:szCs w:val="24"/>
        </w:rPr>
        <w:t>nařízení vlády č. 564/2006 Sb., o platových poměrech zaměstnanců ve veřejných službách</w:t>
      </w:r>
      <w:r w:rsidR="00BD17EB">
        <w:rPr>
          <w:rFonts w:ascii="Times New Roman" w:hAnsi="Times New Roman" w:cs="Times New Roman"/>
          <w:sz w:val="24"/>
          <w:szCs w:val="24"/>
        </w:rPr>
        <w:t xml:space="preserve"> </w:t>
      </w:r>
      <w:r w:rsidR="00BD17EB" w:rsidRPr="00BD17EB">
        <w:rPr>
          <w:rFonts w:ascii="Times New Roman" w:hAnsi="Times New Roman" w:cs="Times New Roman"/>
          <w:sz w:val="24"/>
          <w:szCs w:val="24"/>
        </w:rPr>
        <w:t>a správě</w:t>
      </w:r>
      <w:r w:rsidR="00BD17EB">
        <w:rPr>
          <w:rFonts w:ascii="Times New Roman" w:hAnsi="Times New Roman" w:cs="Times New Roman"/>
          <w:sz w:val="24"/>
          <w:szCs w:val="24"/>
        </w:rPr>
        <w:t>,</w:t>
      </w:r>
      <w:r w:rsidR="00A43B83" w:rsidRPr="00BD17EB">
        <w:rPr>
          <w:rFonts w:ascii="Times New Roman" w:hAnsi="Times New Roman" w:cs="Times New Roman"/>
          <w:sz w:val="24"/>
          <w:szCs w:val="24"/>
        </w:rPr>
        <w:t xml:space="preserve"> </w:t>
      </w:r>
      <w:r w:rsidR="00BD17EB">
        <w:rPr>
          <w:rFonts w:ascii="Times New Roman" w:hAnsi="Times New Roman" w:cs="Times New Roman"/>
          <w:sz w:val="24"/>
          <w:szCs w:val="24"/>
        </w:rPr>
        <w:t xml:space="preserve">ve znění pozdějších předpisů (dále jen </w:t>
      </w:r>
      <w:r w:rsidR="00BD17EB" w:rsidRPr="00BD17EB">
        <w:rPr>
          <w:rFonts w:ascii="Times New Roman" w:hAnsi="Times New Roman" w:cs="Times New Roman"/>
          <w:i/>
          <w:sz w:val="24"/>
          <w:szCs w:val="24"/>
        </w:rPr>
        <w:t>„</w:t>
      </w:r>
      <w:r w:rsidR="00BD17EB">
        <w:rPr>
          <w:rFonts w:ascii="Times New Roman" w:hAnsi="Times New Roman" w:cs="Times New Roman"/>
          <w:i/>
          <w:sz w:val="24"/>
          <w:szCs w:val="24"/>
        </w:rPr>
        <w:t>N</w:t>
      </w:r>
      <w:r w:rsidR="00BD17EB" w:rsidRPr="00BD17EB">
        <w:rPr>
          <w:rFonts w:ascii="Times New Roman" w:hAnsi="Times New Roman" w:cs="Times New Roman"/>
          <w:i/>
          <w:sz w:val="24"/>
          <w:szCs w:val="24"/>
        </w:rPr>
        <w:t>ařízení“</w:t>
      </w:r>
      <w:r w:rsidR="00BD17EB">
        <w:rPr>
          <w:rFonts w:ascii="Times New Roman" w:hAnsi="Times New Roman" w:cs="Times New Roman"/>
          <w:sz w:val="24"/>
          <w:szCs w:val="24"/>
        </w:rPr>
        <w:t>)</w:t>
      </w:r>
      <w:r w:rsidR="00BD17EB" w:rsidRPr="00BD17EB">
        <w:rPr>
          <w:rFonts w:ascii="Times New Roman" w:hAnsi="Times New Roman" w:cs="Times New Roman"/>
          <w:sz w:val="24"/>
          <w:szCs w:val="24"/>
        </w:rPr>
        <w:t xml:space="preserve"> </w:t>
      </w:r>
      <w:r w:rsidR="00A43B83" w:rsidRPr="009750EB">
        <w:rPr>
          <w:rFonts w:ascii="Times New Roman" w:hAnsi="Times New Roman" w:cs="Times New Roman"/>
          <w:sz w:val="24"/>
          <w:szCs w:val="24"/>
        </w:rPr>
        <w:t xml:space="preserve">a na základě </w:t>
      </w:r>
      <w:r w:rsidR="009750EB" w:rsidRPr="009750EB">
        <w:rPr>
          <w:rFonts w:ascii="Times New Roman" w:hAnsi="Times New Roman" w:cs="Times New Roman"/>
          <w:sz w:val="24"/>
          <w:szCs w:val="24"/>
        </w:rPr>
        <w:t>Metodiky Ministerstva zdravotnictví</w:t>
      </w:r>
      <w:r w:rsidRPr="009750EB">
        <w:rPr>
          <w:rFonts w:ascii="Times New Roman" w:hAnsi="Times New Roman" w:cs="Times New Roman"/>
          <w:sz w:val="24"/>
          <w:szCs w:val="24"/>
        </w:rPr>
        <w:t xml:space="preserve"> </w:t>
      </w:r>
      <w:r w:rsidR="00BD17EB">
        <w:rPr>
          <w:rFonts w:ascii="Times New Roman" w:hAnsi="Times New Roman" w:cs="Times New Roman"/>
          <w:sz w:val="24"/>
          <w:szCs w:val="24"/>
        </w:rPr>
        <w:t>pro žadatele o poskytnutí státní dotace v rámci dotačního programu ke stabilizaci</w:t>
      </w:r>
      <w:r w:rsidR="00BD17EB" w:rsidRPr="00BD17EB">
        <w:t xml:space="preserve"> </w:t>
      </w:r>
      <w:r w:rsidR="00BD17EB" w:rsidRPr="00BD17EB">
        <w:rPr>
          <w:rFonts w:ascii="Times New Roman" w:hAnsi="Times New Roman" w:cs="Times New Roman"/>
          <w:sz w:val="24"/>
          <w:szCs w:val="24"/>
        </w:rPr>
        <w:t>vybraných zdravotnických nelékařských pracovníků ve směnném provozu</w:t>
      </w:r>
      <w:r w:rsidR="00BD17EB">
        <w:rPr>
          <w:rFonts w:ascii="Times New Roman" w:hAnsi="Times New Roman" w:cs="Times New Roman"/>
          <w:sz w:val="24"/>
          <w:szCs w:val="24"/>
        </w:rPr>
        <w:t xml:space="preserve"> (dále jen </w:t>
      </w:r>
      <w:r w:rsidR="00BD17EB" w:rsidRPr="00BD17EB">
        <w:rPr>
          <w:rFonts w:ascii="Times New Roman" w:hAnsi="Times New Roman" w:cs="Times New Roman"/>
          <w:i/>
          <w:sz w:val="24"/>
          <w:szCs w:val="24"/>
        </w:rPr>
        <w:t>„Metodika MZ“</w:t>
      </w:r>
      <w:r w:rsidR="00BD17EB">
        <w:rPr>
          <w:rFonts w:ascii="Times New Roman" w:hAnsi="Times New Roman" w:cs="Times New Roman"/>
          <w:sz w:val="24"/>
          <w:szCs w:val="24"/>
        </w:rPr>
        <w:t>) v</w:t>
      </w:r>
      <w:r w:rsidRPr="009750EB">
        <w:rPr>
          <w:rFonts w:ascii="Times New Roman" w:hAnsi="Times New Roman" w:cs="Times New Roman"/>
          <w:sz w:val="24"/>
          <w:szCs w:val="24"/>
        </w:rPr>
        <w:t>yh</w:t>
      </w:r>
      <w:r w:rsidR="003A7FE8" w:rsidRPr="009750EB">
        <w:rPr>
          <w:rFonts w:ascii="Times New Roman" w:hAnsi="Times New Roman" w:cs="Times New Roman"/>
          <w:sz w:val="24"/>
          <w:szCs w:val="24"/>
        </w:rPr>
        <w:t>lašuje dotační řízení pro </w:t>
      </w:r>
      <w:r w:rsidRPr="009750EB">
        <w:rPr>
          <w:rFonts w:ascii="Times New Roman" w:hAnsi="Times New Roman" w:cs="Times New Roman"/>
          <w:sz w:val="24"/>
          <w:szCs w:val="24"/>
        </w:rPr>
        <w:t xml:space="preserve">právnické osoby, které </w:t>
      </w:r>
      <w:r w:rsidR="00A43B83" w:rsidRPr="009750EB">
        <w:rPr>
          <w:rFonts w:ascii="Times New Roman" w:hAnsi="Times New Roman" w:cs="Times New Roman"/>
          <w:sz w:val="24"/>
          <w:szCs w:val="24"/>
        </w:rPr>
        <w:t>soustavně p</w:t>
      </w:r>
      <w:r w:rsidRPr="009750EB">
        <w:rPr>
          <w:rFonts w:ascii="Times New Roman" w:hAnsi="Times New Roman" w:cs="Times New Roman"/>
          <w:sz w:val="24"/>
          <w:szCs w:val="24"/>
        </w:rPr>
        <w:t xml:space="preserve">oskytují </w:t>
      </w:r>
      <w:r w:rsidR="00A43B83" w:rsidRPr="009750EB">
        <w:rPr>
          <w:rFonts w:ascii="Times New Roman" w:hAnsi="Times New Roman" w:cs="Times New Roman"/>
          <w:b/>
          <w:bCs/>
        </w:rPr>
        <w:t>zdravotní služb</w:t>
      </w:r>
      <w:r w:rsidR="009750EB">
        <w:rPr>
          <w:rFonts w:ascii="Times New Roman" w:hAnsi="Times New Roman" w:cs="Times New Roman"/>
          <w:b/>
          <w:bCs/>
        </w:rPr>
        <w:t>y lůžkové péče</w:t>
      </w:r>
      <w:r w:rsidR="00A43B83" w:rsidRPr="009750EB">
        <w:rPr>
          <w:rFonts w:ascii="Times New Roman" w:hAnsi="Times New Roman" w:cs="Times New Roman"/>
          <w:b/>
          <w:bCs/>
        </w:rPr>
        <w:t xml:space="preserve"> zdravotnickými pracovníky vykonávajícími nelékařské zdravotnické povolání bez odborného dohledu střídavě ve třísměnném nebo nepřetržitém provozním režimu</w:t>
      </w:r>
      <w:r w:rsidR="009750EB">
        <w:rPr>
          <w:rFonts w:ascii="Times New Roman" w:hAnsi="Times New Roman" w:cs="Times New Roman"/>
          <w:b/>
          <w:bCs/>
        </w:rPr>
        <w:t>.</w:t>
      </w:r>
      <w:r w:rsidR="00A43B83" w:rsidRPr="009750EB">
        <w:rPr>
          <w:rFonts w:ascii="Times New Roman" w:hAnsi="Times New Roman" w:cs="Times New Roman"/>
          <w:b/>
          <w:bCs/>
        </w:rPr>
        <w:t xml:space="preserve"> </w:t>
      </w:r>
    </w:p>
    <w:p w:rsidR="009750EB" w:rsidRDefault="00440E3F" w:rsidP="00440E3F">
      <w:pPr>
        <w:spacing w:before="120" w:after="0" w:line="240" w:lineRule="auto"/>
        <w:jc w:val="both"/>
        <w:rPr>
          <w:rFonts w:ascii="Times New Roman" w:hAnsi="Times New Roman" w:cs="Times New Roman"/>
          <w:sz w:val="24"/>
          <w:szCs w:val="24"/>
        </w:rPr>
      </w:pPr>
      <w:r w:rsidRPr="00440E3F">
        <w:rPr>
          <w:rFonts w:ascii="Times New Roman" w:hAnsi="Times New Roman" w:cs="Times New Roman"/>
          <w:b/>
          <w:sz w:val="24"/>
          <w:szCs w:val="24"/>
        </w:rPr>
        <w:t xml:space="preserve">Dotační řízení je vyhlašováno v návaznosti na </w:t>
      </w:r>
      <w:r w:rsidRPr="00440E3F">
        <w:rPr>
          <w:rFonts w:ascii="Times New Roman" w:hAnsi="Times New Roman" w:cs="Times New Roman"/>
          <w:sz w:val="24"/>
          <w:szCs w:val="24"/>
        </w:rPr>
        <w:t>poskytnutí dotace ze státního rozpočtu</w:t>
      </w:r>
      <w:r w:rsidR="00403F68">
        <w:rPr>
          <w:rFonts w:ascii="Times New Roman" w:hAnsi="Times New Roman" w:cs="Times New Roman"/>
          <w:sz w:val="24"/>
          <w:szCs w:val="24"/>
        </w:rPr>
        <w:t xml:space="preserve"> z kapitoly Ministerstva </w:t>
      </w:r>
      <w:r w:rsidR="009750EB">
        <w:rPr>
          <w:rFonts w:ascii="Times New Roman" w:hAnsi="Times New Roman" w:cs="Times New Roman"/>
          <w:sz w:val="24"/>
          <w:szCs w:val="24"/>
        </w:rPr>
        <w:t>zdravotnictví</w:t>
      </w:r>
      <w:r w:rsidR="00403F68">
        <w:rPr>
          <w:rFonts w:ascii="Times New Roman" w:hAnsi="Times New Roman" w:cs="Times New Roman"/>
          <w:sz w:val="24"/>
          <w:szCs w:val="24"/>
        </w:rPr>
        <w:t xml:space="preserve"> (dále jen „</w:t>
      </w:r>
      <w:r w:rsidR="009750EB">
        <w:rPr>
          <w:rFonts w:ascii="Times New Roman" w:hAnsi="Times New Roman" w:cs="Times New Roman"/>
          <w:i/>
          <w:sz w:val="24"/>
          <w:szCs w:val="24"/>
        </w:rPr>
        <w:t>MZ</w:t>
      </w:r>
      <w:r w:rsidR="00403F68">
        <w:rPr>
          <w:rFonts w:ascii="Times New Roman" w:hAnsi="Times New Roman" w:cs="Times New Roman"/>
          <w:sz w:val="24"/>
          <w:szCs w:val="24"/>
        </w:rPr>
        <w:t>“)</w:t>
      </w:r>
      <w:r w:rsidRPr="00440E3F">
        <w:rPr>
          <w:rFonts w:ascii="Times New Roman" w:hAnsi="Times New Roman" w:cs="Times New Roman"/>
          <w:sz w:val="24"/>
          <w:szCs w:val="24"/>
        </w:rPr>
        <w:t xml:space="preserve"> krajům a HMP</w:t>
      </w:r>
      <w:r w:rsidR="009750EB">
        <w:rPr>
          <w:rFonts w:ascii="Times New Roman" w:hAnsi="Times New Roman" w:cs="Times New Roman"/>
          <w:sz w:val="24"/>
          <w:szCs w:val="24"/>
        </w:rPr>
        <w:t>.</w:t>
      </w:r>
    </w:p>
    <w:p w:rsidR="00440E3F" w:rsidRPr="00440E3F" w:rsidRDefault="00440E3F" w:rsidP="00440E3F">
      <w:pPr>
        <w:keepNext/>
        <w:keepLines/>
        <w:spacing w:before="480"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I</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Úvodní ustanovení</w:t>
      </w:r>
    </w:p>
    <w:p w:rsidR="00440E3F" w:rsidRPr="00BD17EB" w:rsidRDefault="00440E3F" w:rsidP="00440E3F">
      <w:pPr>
        <w:autoSpaceDE w:val="0"/>
        <w:autoSpaceDN w:val="0"/>
        <w:adjustRightInd w:val="0"/>
        <w:spacing w:after="0" w:line="240" w:lineRule="auto"/>
        <w:ind w:left="714" w:hanging="357"/>
        <w:jc w:val="both"/>
        <w:rPr>
          <w:rFonts w:asciiTheme="majorHAnsi" w:eastAsiaTheme="majorEastAsia" w:hAnsiTheme="majorHAnsi" w:cstheme="majorBidi"/>
          <w:b/>
          <w:bCs/>
          <w:color w:val="365F91" w:themeColor="accent1" w:themeShade="BF"/>
          <w:sz w:val="24"/>
          <w:szCs w:val="24"/>
        </w:rPr>
      </w:pPr>
    </w:p>
    <w:p w:rsidR="00440E3F" w:rsidRPr="00B94F5E" w:rsidRDefault="00440E3F" w:rsidP="00440E3F">
      <w:pPr>
        <w:numPr>
          <w:ilvl w:val="0"/>
          <w:numId w:val="1"/>
        </w:numPr>
        <w:autoSpaceDE w:val="0"/>
        <w:autoSpaceDN w:val="0"/>
        <w:adjustRightInd w:val="0"/>
        <w:spacing w:before="120" w:after="0" w:line="240" w:lineRule="auto"/>
        <w:ind w:left="714" w:hanging="357"/>
        <w:jc w:val="both"/>
        <w:rPr>
          <w:rFonts w:ascii="TimesNewRoman" w:hAnsi="TimesNewRoman" w:cs="TimesNewRoman"/>
          <w:sz w:val="24"/>
          <w:szCs w:val="24"/>
        </w:rPr>
      </w:pPr>
      <w:r w:rsidRPr="00EE01FC">
        <w:rPr>
          <w:rFonts w:ascii="TimesNewRoman" w:hAnsi="TimesNewRoman" w:cs="TimesNewRoman"/>
          <w:sz w:val="24"/>
          <w:szCs w:val="24"/>
        </w:rPr>
        <w:t xml:space="preserve">HMP vyhlašuje dotační </w:t>
      </w:r>
      <w:r w:rsidR="0043231E">
        <w:rPr>
          <w:rFonts w:ascii="TimesNewRoman" w:hAnsi="TimesNewRoman" w:cs="TimesNewRoman"/>
          <w:sz w:val="24"/>
          <w:szCs w:val="24"/>
        </w:rPr>
        <w:t>program</w:t>
      </w:r>
      <w:r w:rsidRPr="00EE01FC">
        <w:rPr>
          <w:rFonts w:ascii="TimesNewRoman" w:hAnsi="TimesNewRoman" w:cs="TimesNewRoman"/>
          <w:sz w:val="24"/>
          <w:szCs w:val="24"/>
        </w:rPr>
        <w:t xml:space="preserve"> určen</w:t>
      </w:r>
      <w:r w:rsidR="0043231E">
        <w:rPr>
          <w:rFonts w:ascii="TimesNewRoman" w:hAnsi="TimesNewRoman" w:cs="TimesNewRoman"/>
          <w:sz w:val="24"/>
          <w:szCs w:val="24"/>
        </w:rPr>
        <w:t>ý</w:t>
      </w:r>
      <w:r w:rsidRPr="00EE01FC">
        <w:rPr>
          <w:rFonts w:ascii="TimesNewRoman" w:hAnsi="TimesNewRoman" w:cs="TimesNewRoman"/>
          <w:sz w:val="24"/>
          <w:szCs w:val="24"/>
        </w:rPr>
        <w:t xml:space="preserve"> pro právnické</w:t>
      </w:r>
      <w:r w:rsidR="00BD17EB">
        <w:rPr>
          <w:rFonts w:ascii="TimesNewRoman" w:hAnsi="TimesNewRoman" w:cs="TimesNewRoman"/>
          <w:sz w:val="24"/>
          <w:szCs w:val="24"/>
        </w:rPr>
        <w:t xml:space="preserve"> osoby</w:t>
      </w:r>
      <w:r w:rsidRPr="00EE01FC">
        <w:rPr>
          <w:rFonts w:ascii="TimesNewRoman" w:hAnsi="TimesNewRoman" w:cs="TimesNewRoman"/>
          <w:sz w:val="24"/>
          <w:szCs w:val="24"/>
        </w:rPr>
        <w:t xml:space="preserve">, které poskytují </w:t>
      </w:r>
      <w:r w:rsidR="002F53C4" w:rsidRPr="009750EB">
        <w:rPr>
          <w:rFonts w:ascii="Times New Roman" w:hAnsi="Times New Roman" w:cs="Times New Roman"/>
          <w:b/>
          <w:bCs/>
        </w:rPr>
        <w:t>zdravotní služb</w:t>
      </w:r>
      <w:r w:rsidR="002F53C4">
        <w:rPr>
          <w:rFonts w:ascii="Times New Roman" w:hAnsi="Times New Roman" w:cs="Times New Roman"/>
          <w:b/>
          <w:bCs/>
        </w:rPr>
        <w:t>y lůžkové péče</w:t>
      </w:r>
      <w:r w:rsidR="002F53C4" w:rsidRPr="009750EB">
        <w:rPr>
          <w:rFonts w:ascii="Times New Roman" w:hAnsi="Times New Roman" w:cs="Times New Roman"/>
          <w:b/>
          <w:bCs/>
        </w:rPr>
        <w:t xml:space="preserve"> zdravotnickými pracovníky vykonávajícími nelékařské zdravotnické povolání bez odborného dohledu střídavě ve třísměnném nebo nepřetržitém provozním režimu</w:t>
      </w:r>
      <w:r w:rsidR="002F53C4">
        <w:rPr>
          <w:rFonts w:ascii="Times New Roman" w:hAnsi="Times New Roman" w:cs="Times New Roman"/>
          <w:b/>
          <w:bCs/>
        </w:rPr>
        <w:t xml:space="preserve"> a mají sídlo na území HMP</w:t>
      </w:r>
      <w:r w:rsidR="002F53C4" w:rsidRPr="00EE01FC">
        <w:rPr>
          <w:rFonts w:ascii="TimesNewRoman" w:hAnsi="TimesNewRoman" w:cs="TimesNewRoman"/>
          <w:sz w:val="24"/>
          <w:szCs w:val="24"/>
        </w:rPr>
        <w:t xml:space="preserve"> </w:t>
      </w:r>
      <w:r w:rsidRPr="00EE01FC">
        <w:rPr>
          <w:rFonts w:ascii="TimesNewRoman" w:hAnsi="TimesNewRoman" w:cs="TimesNewRoman"/>
          <w:sz w:val="24"/>
          <w:szCs w:val="24"/>
        </w:rPr>
        <w:t>(</w:t>
      </w:r>
      <w:r w:rsidR="002527AE">
        <w:rPr>
          <w:rFonts w:ascii="TimesNewRoman" w:hAnsi="TimesNewRoman" w:cs="TimesNewRoman"/>
          <w:sz w:val="24"/>
          <w:szCs w:val="24"/>
        </w:rPr>
        <w:t xml:space="preserve">dále jen </w:t>
      </w:r>
      <w:r w:rsidR="002527AE" w:rsidRPr="002527AE">
        <w:rPr>
          <w:rFonts w:ascii="TimesNewRoman" w:hAnsi="TimesNewRoman" w:cs="TimesNewRoman"/>
          <w:i/>
          <w:sz w:val="24"/>
          <w:szCs w:val="24"/>
        </w:rPr>
        <w:t>„</w:t>
      </w:r>
      <w:r w:rsidRPr="002527AE">
        <w:rPr>
          <w:rFonts w:ascii="TimesNewRoman" w:hAnsi="TimesNewRoman" w:cs="TimesNewRoman"/>
          <w:i/>
          <w:sz w:val="24"/>
          <w:szCs w:val="24"/>
        </w:rPr>
        <w:t xml:space="preserve">poskytovatelé </w:t>
      </w:r>
      <w:r w:rsidR="002F53C4">
        <w:rPr>
          <w:rFonts w:ascii="TimesNewRoman" w:hAnsi="TimesNewRoman" w:cs="TimesNewRoman"/>
          <w:i/>
          <w:sz w:val="24"/>
          <w:szCs w:val="24"/>
        </w:rPr>
        <w:t>zdravotních</w:t>
      </w:r>
      <w:r w:rsidRPr="002527AE">
        <w:rPr>
          <w:rFonts w:ascii="TimesNewRoman" w:hAnsi="TimesNewRoman" w:cs="TimesNewRoman"/>
          <w:i/>
          <w:sz w:val="24"/>
          <w:szCs w:val="24"/>
        </w:rPr>
        <w:t xml:space="preserve"> služeb</w:t>
      </w:r>
      <w:r w:rsidR="002527AE" w:rsidRPr="002527AE">
        <w:rPr>
          <w:rFonts w:ascii="TimesNewRoman" w:hAnsi="TimesNewRoman" w:cs="TimesNewRoman"/>
          <w:i/>
          <w:sz w:val="24"/>
          <w:szCs w:val="24"/>
        </w:rPr>
        <w:t>“</w:t>
      </w:r>
      <w:r w:rsidRPr="00EE01FC">
        <w:rPr>
          <w:rFonts w:ascii="TimesNewRoman" w:hAnsi="TimesNewRoman" w:cs="TimesNewRoman"/>
          <w:sz w:val="24"/>
          <w:szCs w:val="24"/>
        </w:rPr>
        <w:t xml:space="preserve">). Dotační </w:t>
      </w:r>
      <w:r w:rsidR="0043231E">
        <w:rPr>
          <w:rFonts w:ascii="TimesNewRoman" w:hAnsi="TimesNewRoman" w:cs="TimesNewRoman"/>
          <w:sz w:val="24"/>
          <w:szCs w:val="24"/>
        </w:rPr>
        <w:t xml:space="preserve">program </w:t>
      </w:r>
      <w:r w:rsidRPr="00EE01FC">
        <w:rPr>
          <w:rFonts w:ascii="TimesNewRoman" w:hAnsi="TimesNewRoman" w:cs="TimesNewRoman"/>
          <w:sz w:val="24"/>
          <w:szCs w:val="24"/>
        </w:rPr>
        <w:t>je vyhlašován v souladu s</w:t>
      </w:r>
      <w:r w:rsidR="002F53C4">
        <w:rPr>
          <w:rFonts w:ascii="TimesNewRoman" w:hAnsi="TimesNewRoman" w:cs="TimesNewRoman"/>
          <w:sz w:val="24"/>
          <w:szCs w:val="24"/>
        </w:rPr>
        <w:t> Metodikou MZ</w:t>
      </w:r>
      <w:r w:rsidRPr="00B94F5E">
        <w:rPr>
          <w:rFonts w:ascii="TimesNewRoman" w:hAnsi="TimesNewRoman" w:cs="TimesNewRoman"/>
          <w:sz w:val="24"/>
          <w:szCs w:val="24"/>
        </w:rPr>
        <w:t xml:space="preserve">. </w:t>
      </w:r>
    </w:p>
    <w:p w:rsidR="00440E3F" w:rsidRPr="00B94F5E" w:rsidRDefault="002F53C4" w:rsidP="00C64547">
      <w:pPr>
        <w:numPr>
          <w:ilvl w:val="0"/>
          <w:numId w:val="1"/>
        </w:numPr>
        <w:autoSpaceDE w:val="0"/>
        <w:autoSpaceDN w:val="0"/>
        <w:adjustRightInd w:val="0"/>
        <w:spacing w:before="120" w:after="0" w:line="240" w:lineRule="auto"/>
        <w:jc w:val="both"/>
        <w:rPr>
          <w:rFonts w:ascii="TimesNewRoman" w:hAnsi="TimesNewRoman" w:cs="TimesNewRoman"/>
          <w:sz w:val="24"/>
          <w:szCs w:val="24"/>
        </w:rPr>
      </w:pPr>
      <w:r>
        <w:rPr>
          <w:rFonts w:ascii="TimesNewRoman" w:hAnsi="TimesNewRoman" w:cs="TimesNewRoman"/>
          <w:sz w:val="24"/>
          <w:szCs w:val="24"/>
        </w:rPr>
        <w:t xml:space="preserve">Dotační řízení probíhá v </w:t>
      </w:r>
      <w:r w:rsidR="00440E3F" w:rsidRPr="00B94F5E">
        <w:rPr>
          <w:rFonts w:ascii="TimesNewRoman" w:hAnsi="TimesNewRoman" w:cs="TimesNewRoman"/>
          <w:sz w:val="24"/>
          <w:szCs w:val="24"/>
        </w:rPr>
        <w:t xml:space="preserve">souladu se </w:t>
      </w:r>
      <w:r w:rsidR="003A7FE8" w:rsidRPr="00B94F5E">
        <w:rPr>
          <w:rFonts w:ascii="TimesNewRoman" w:hAnsi="TimesNewRoman" w:cs="TimesNewRoman"/>
          <w:sz w:val="24"/>
          <w:szCs w:val="24"/>
        </w:rPr>
        <w:t>zákonem o rozpočtových pravidlech územních rozpočtů</w:t>
      </w:r>
      <w:r>
        <w:rPr>
          <w:rFonts w:ascii="TimesNewRoman" w:hAnsi="TimesNewRoman" w:cs="TimesNewRoman"/>
          <w:sz w:val="24"/>
          <w:szCs w:val="24"/>
        </w:rPr>
        <w:t>,</w:t>
      </w:r>
      <w:r w:rsidR="003A7FE8" w:rsidRPr="00B94F5E">
        <w:rPr>
          <w:rFonts w:ascii="TimesNewRoman" w:hAnsi="TimesNewRoman" w:cs="TimesNewRoman"/>
          <w:sz w:val="24"/>
          <w:szCs w:val="24"/>
        </w:rPr>
        <w:t xml:space="preserve"> </w:t>
      </w:r>
      <w:r w:rsidR="00440E3F" w:rsidRPr="00B94F5E">
        <w:rPr>
          <w:rFonts w:ascii="TimesNewRoman" w:hAnsi="TimesNewRoman" w:cs="TimesNewRoman"/>
          <w:sz w:val="24"/>
          <w:szCs w:val="24"/>
        </w:rPr>
        <w:t xml:space="preserve">zákonem o </w:t>
      </w:r>
      <w:r>
        <w:rPr>
          <w:rFonts w:ascii="TimesNewRoman" w:hAnsi="TimesNewRoman" w:cs="TimesNewRoman"/>
          <w:sz w:val="24"/>
          <w:szCs w:val="24"/>
        </w:rPr>
        <w:t xml:space="preserve">zdravotních službách </w:t>
      </w:r>
      <w:r w:rsidRPr="00440E3F">
        <w:rPr>
          <w:rFonts w:ascii="TimesNewRoman" w:hAnsi="TimesNewRoman" w:cs="TimesNewRoman"/>
          <w:sz w:val="24"/>
          <w:szCs w:val="24"/>
        </w:rPr>
        <w:t>a zákonem č. 131/2000 </w:t>
      </w:r>
      <w:r>
        <w:rPr>
          <w:rFonts w:ascii="TimesNewRoman" w:hAnsi="TimesNewRoman" w:cs="TimesNewRoman"/>
          <w:sz w:val="24"/>
          <w:szCs w:val="24"/>
        </w:rPr>
        <w:t xml:space="preserve"> Sb., o </w:t>
      </w:r>
      <w:r w:rsidRPr="00440E3F">
        <w:rPr>
          <w:rFonts w:ascii="TimesNewRoman" w:hAnsi="TimesNewRoman" w:cs="TimesNewRoman"/>
          <w:sz w:val="24"/>
          <w:szCs w:val="24"/>
        </w:rPr>
        <w:t>hlavním městě Praze, ve znění pozdějších předpisů (dále jen „</w:t>
      </w:r>
      <w:r w:rsidRPr="00440E3F">
        <w:rPr>
          <w:rFonts w:ascii="TimesNewRoman" w:hAnsi="TimesNewRoman" w:cs="TimesNewRoman"/>
          <w:i/>
          <w:sz w:val="24"/>
          <w:szCs w:val="24"/>
        </w:rPr>
        <w:t>zákon o HMP</w:t>
      </w:r>
      <w:r w:rsidRPr="00440E3F">
        <w:rPr>
          <w:rFonts w:ascii="TimesNewRoman" w:hAnsi="TimesNewRoman" w:cs="TimesNewRoman"/>
          <w:sz w:val="24"/>
          <w:szCs w:val="24"/>
        </w:rPr>
        <w:t>“).</w:t>
      </w:r>
      <w:r w:rsidR="00440E3F" w:rsidRPr="00B94F5E">
        <w:rPr>
          <w:rFonts w:ascii="TimesNewRoman" w:hAnsi="TimesNewRoman" w:cs="TimesNewRoman"/>
          <w:sz w:val="24"/>
          <w:szCs w:val="24"/>
        </w:rPr>
        <w:t xml:space="preserve"> </w:t>
      </w:r>
    </w:p>
    <w:p w:rsidR="00440E3F" w:rsidRPr="00BA4B65" w:rsidRDefault="00440E3F" w:rsidP="00440E3F">
      <w:pPr>
        <w:numPr>
          <w:ilvl w:val="0"/>
          <w:numId w:val="1"/>
        </w:numPr>
        <w:autoSpaceDE w:val="0"/>
        <w:autoSpaceDN w:val="0"/>
        <w:adjustRightInd w:val="0"/>
        <w:spacing w:before="120" w:after="0" w:line="240" w:lineRule="auto"/>
        <w:jc w:val="both"/>
        <w:rPr>
          <w:rFonts w:ascii="Times New Roman" w:hAnsi="Times New Roman" w:cs="Times New Roman"/>
          <w:sz w:val="24"/>
          <w:szCs w:val="24"/>
        </w:rPr>
      </w:pPr>
      <w:r w:rsidRPr="00440E3F">
        <w:rPr>
          <w:rFonts w:ascii="Times New Roman" w:hAnsi="Times New Roman" w:cs="Times New Roman"/>
          <w:bCs/>
          <w:sz w:val="24"/>
          <w:szCs w:val="24"/>
        </w:rPr>
        <w:t xml:space="preserve">Objem finančních prostředků poskytovaných v rámci dotačního řízení je limitován celkovým objemem prostředků, které budou pro HMP na tyto účely stanoveny </w:t>
      </w:r>
      <w:r w:rsidRPr="00E469C1">
        <w:rPr>
          <w:rFonts w:ascii="Times New Roman" w:hAnsi="Times New Roman" w:cs="Times New Roman"/>
          <w:bCs/>
          <w:sz w:val="24"/>
          <w:szCs w:val="24"/>
        </w:rPr>
        <w:t xml:space="preserve">Rozhodnutím o poskytnutí dotace z kapitoly </w:t>
      </w:r>
      <w:r w:rsidR="002F53C4">
        <w:rPr>
          <w:rFonts w:ascii="Times New Roman" w:hAnsi="Times New Roman" w:cs="Times New Roman"/>
          <w:bCs/>
          <w:sz w:val="24"/>
          <w:szCs w:val="24"/>
        </w:rPr>
        <w:t>MZ</w:t>
      </w:r>
      <w:r w:rsidRPr="00E469C1">
        <w:rPr>
          <w:rFonts w:ascii="Times New Roman" w:hAnsi="Times New Roman" w:cs="Times New Roman"/>
          <w:bCs/>
          <w:sz w:val="24"/>
          <w:szCs w:val="24"/>
        </w:rPr>
        <w:t xml:space="preserve"> státního rozpočtu na rok</w:t>
      </w:r>
      <w:r w:rsidR="003A7FE8" w:rsidRPr="00E469C1">
        <w:rPr>
          <w:rFonts w:ascii="Times New Roman" w:hAnsi="Times New Roman" w:cs="Times New Roman"/>
          <w:bCs/>
          <w:sz w:val="24"/>
          <w:szCs w:val="24"/>
        </w:rPr>
        <w:t xml:space="preserve"> 201</w:t>
      </w:r>
      <w:r w:rsidR="00C64547" w:rsidRPr="00E469C1">
        <w:rPr>
          <w:rFonts w:ascii="Times New Roman" w:hAnsi="Times New Roman" w:cs="Times New Roman"/>
          <w:bCs/>
          <w:sz w:val="24"/>
          <w:szCs w:val="24"/>
        </w:rPr>
        <w:t>7</w:t>
      </w:r>
      <w:r w:rsidRPr="00E469C1">
        <w:rPr>
          <w:rFonts w:ascii="Times New Roman" w:hAnsi="Times New Roman" w:cs="Times New Roman"/>
          <w:bCs/>
          <w:sz w:val="24"/>
          <w:szCs w:val="24"/>
        </w:rPr>
        <w:t xml:space="preserve"> (dále jen </w:t>
      </w:r>
      <w:r w:rsidRPr="00E469C1">
        <w:rPr>
          <w:rFonts w:ascii="Times New Roman" w:hAnsi="Times New Roman" w:cs="Times New Roman"/>
          <w:bCs/>
          <w:i/>
          <w:sz w:val="24"/>
          <w:szCs w:val="24"/>
        </w:rPr>
        <w:t>„Rozhodnutí“</w:t>
      </w:r>
      <w:r w:rsidRPr="00E469C1">
        <w:rPr>
          <w:rFonts w:ascii="Times New Roman" w:hAnsi="Times New Roman" w:cs="Times New Roman"/>
          <w:bCs/>
          <w:sz w:val="24"/>
          <w:szCs w:val="24"/>
        </w:rPr>
        <w:t>).</w:t>
      </w:r>
      <w:r w:rsidR="00F37432">
        <w:rPr>
          <w:rFonts w:ascii="Times New Roman" w:hAnsi="Times New Roman" w:cs="Times New Roman"/>
          <w:bCs/>
          <w:sz w:val="24"/>
          <w:szCs w:val="24"/>
        </w:rPr>
        <w:t xml:space="preserve"> </w:t>
      </w:r>
    </w:p>
    <w:p w:rsidR="00BA4B65" w:rsidRDefault="00440E3F" w:rsidP="00BA4B65">
      <w:pPr>
        <w:numPr>
          <w:ilvl w:val="0"/>
          <w:numId w:val="1"/>
        </w:numPr>
        <w:autoSpaceDE w:val="0"/>
        <w:autoSpaceDN w:val="0"/>
        <w:adjustRightInd w:val="0"/>
        <w:spacing w:before="120" w:after="0" w:line="240" w:lineRule="auto"/>
        <w:ind w:left="714" w:hanging="357"/>
        <w:jc w:val="both"/>
        <w:rPr>
          <w:rFonts w:ascii="Times New Roman" w:hAnsi="Times New Roman" w:cs="Times New Roman"/>
          <w:sz w:val="24"/>
          <w:szCs w:val="24"/>
        </w:rPr>
      </w:pPr>
      <w:r w:rsidRPr="00440E3F">
        <w:rPr>
          <w:rFonts w:ascii="Times New Roman" w:hAnsi="Times New Roman" w:cs="Times New Roman"/>
          <w:sz w:val="24"/>
          <w:szCs w:val="24"/>
        </w:rPr>
        <w:t xml:space="preserve">Na poskytnutí dotace není právní nárok. Dotace nemusí být přidělena v požadované výši. </w:t>
      </w:r>
      <w:r w:rsidR="00403F68">
        <w:rPr>
          <w:rFonts w:ascii="Times New Roman" w:hAnsi="Times New Roman" w:cs="Times New Roman"/>
          <w:sz w:val="24"/>
          <w:szCs w:val="24"/>
        </w:rPr>
        <w:t>Nevyhoví-li poskytovatel dotace žádosti, sdělí bez zbytečného odkladu žadateli, že jeho žádosti nebylo vyhověno a důvod nevyhovění žádosti.</w:t>
      </w:r>
    </w:p>
    <w:p w:rsidR="007D4554" w:rsidRPr="007D4554" w:rsidRDefault="007D4554" w:rsidP="007D4554">
      <w:pPr>
        <w:numPr>
          <w:ilvl w:val="0"/>
          <w:numId w:val="1"/>
        </w:numPr>
        <w:autoSpaceDE w:val="0"/>
        <w:autoSpaceDN w:val="0"/>
        <w:adjustRightInd w:val="0"/>
        <w:spacing w:before="120" w:after="0" w:line="240" w:lineRule="auto"/>
        <w:jc w:val="both"/>
        <w:rPr>
          <w:rFonts w:ascii="Times New Roman" w:hAnsi="Times New Roman" w:cs="Times New Roman"/>
          <w:sz w:val="24"/>
          <w:szCs w:val="24"/>
        </w:rPr>
      </w:pPr>
      <w:r w:rsidRPr="007D4554">
        <w:rPr>
          <w:rFonts w:ascii="Times New Roman" w:hAnsi="Times New Roman" w:cs="Times New Roman"/>
          <w:sz w:val="24"/>
          <w:szCs w:val="24"/>
        </w:rPr>
        <w:t>Dotaci lze použít pouze na krytí nákladů na zvýšení zvláštního příplatku vypláceného dle §</w:t>
      </w:r>
      <w:r w:rsidR="00F53686">
        <w:rPr>
          <w:rFonts w:ascii="Times New Roman" w:hAnsi="Times New Roman" w:cs="Times New Roman"/>
          <w:sz w:val="24"/>
          <w:szCs w:val="24"/>
        </w:rPr>
        <w:t xml:space="preserve"> </w:t>
      </w:r>
      <w:r w:rsidRPr="007D4554">
        <w:rPr>
          <w:rFonts w:ascii="Times New Roman" w:hAnsi="Times New Roman" w:cs="Times New Roman"/>
          <w:sz w:val="24"/>
          <w:szCs w:val="24"/>
        </w:rPr>
        <w:t xml:space="preserve">8 Nařízení nebo analogické zvýšení mzdy a to pouze v případě, pokud byl příslušnému zaměstnanci navýšen zvláštní příplatek k platu nebo analogicky zvýšena mzda o nejméně 2 000,- Kč hrubého měsíčně. </w:t>
      </w:r>
    </w:p>
    <w:p w:rsidR="007D4554" w:rsidRPr="00BA4B65" w:rsidRDefault="007D4554" w:rsidP="007D4554">
      <w:pPr>
        <w:autoSpaceDE w:val="0"/>
        <w:autoSpaceDN w:val="0"/>
        <w:adjustRightInd w:val="0"/>
        <w:spacing w:before="120" w:after="0" w:line="240" w:lineRule="auto"/>
        <w:ind w:left="720"/>
        <w:jc w:val="both"/>
        <w:rPr>
          <w:rFonts w:ascii="Times New Roman" w:hAnsi="Times New Roman" w:cs="Times New Roman"/>
          <w:sz w:val="24"/>
          <w:szCs w:val="24"/>
        </w:rPr>
      </w:pPr>
      <w:r w:rsidRPr="007D4554">
        <w:rPr>
          <w:rFonts w:ascii="Times New Roman" w:hAnsi="Times New Roman" w:cs="Times New Roman"/>
          <w:sz w:val="24"/>
          <w:szCs w:val="24"/>
        </w:rPr>
        <w:lastRenderedPageBreak/>
        <w:t>Dotace se poskytuje ve výši 2 000,- Kč * 1,34 Kč na každého přepočteného pracovníka splňujícího definici a měsíc, po který zaměstnanec pobíral zvýšený zvláštní příplatek k platu nebo analogicky zvýšenou mzdu oproti období předcházejícímu období, na které se přiděluje dotace. Dotace je poskytnuta pouze v případě, že byl příslušnému zaměstnanci navýšen zvláštní příplatek k platu nebo analogicky zvýšena mzda o nejméně 2 000 Kč hrubého měsíčně. Tato změna musí být účinná ve všech měsících, na které je dotace žádána. Zaměstnanec nesmí být v souvislosti s přiznáním zvýšeného zvláštního příplatku k platu nebo s analogickým navýšením mzdy krácen v jiných složkách platu nebo mzdy. V takovém případě je povinností žadatele vrátit příslušnou část přidělené dotace.</w:t>
      </w:r>
    </w:p>
    <w:p w:rsidR="00440E3F" w:rsidRPr="00440E3F" w:rsidRDefault="00440E3F" w:rsidP="00140708">
      <w:pPr>
        <w:numPr>
          <w:ilvl w:val="0"/>
          <w:numId w:val="1"/>
        </w:numPr>
        <w:spacing w:before="120" w:after="0" w:line="240" w:lineRule="auto"/>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O</w:t>
      </w:r>
      <w:r w:rsidR="00A007BC">
        <w:rPr>
          <w:rFonts w:ascii="Times New Roman" w:eastAsia="Times New Roman" w:hAnsi="Times New Roman" w:cs="Times New Roman"/>
          <w:sz w:val="24"/>
          <w:szCs w:val="24"/>
          <w:lang w:eastAsia="cs-CZ"/>
        </w:rPr>
        <w:t>kruh způsobilých žadatelů, kteří mohou o</w:t>
      </w:r>
      <w:r w:rsidRPr="00440E3F">
        <w:rPr>
          <w:rFonts w:ascii="Times New Roman" w:eastAsia="Times New Roman" w:hAnsi="Times New Roman" w:cs="Times New Roman"/>
          <w:sz w:val="24"/>
          <w:szCs w:val="24"/>
          <w:lang w:eastAsia="cs-CZ"/>
        </w:rPr>
        <w:t xml:space="preserve"> dotac</w:t>
      </w:r>
      <w:r w:rsidR="00A007BC">
        <w:rPr>
          <w:rFonts w:ascii="Times New Roman" w:eastAsia="Times New Roman" w:hAnsi="Times New Roman" w:cs="Times New Roman"/>
          <w:sz w:val="24"/>
          <w:szCs w:val="24"/>
          <w:lang w:eastAsia="cs-CZ"/>
        </w:rPr>
        <w:t>i</w:t>
      </w:r>
      <w:r w:rsidRPr="00440E3F">
        <w:rPr>
          <w:rFonts w:ascii="Times New Roman" w:eastAsia="Times New Roman" w:hAnsi="Times New Roman" w:cs="Times New Roman"/>
          <w:sz w:val="24"/>
          <w:szCs w:val="24"/>
          <w:lang w:eastAsia="cs-CZ"/>
        </w:rPr>
        <w:t xml:space="preserve"> žádat</w:t>
      </w:r>
      <w:r w:rsidR="00A007BC">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w:t>
      </w:r>
      <w:r w:rsidR="00A007BC">
        <w:rPr>
          <w:rFonts w:ascii="Times New Roman" w:eastAsia="Times New Roman" w:hAnsi="Times New Roman" w:cs="Times New Roman"/>
          <w:sz w:val="24"/>
          <w:szCs w:val="24"/>
          <w:lang w:eastAsia="cs-CZ"/>
        </w:rPr>
        <w:t xml:space="preserve">jsou </w:t>
      </w:r>
      <w:r w:rsidRPr="00440E3F">
        <w:rPr>
          <w:rFonts w:ascii="Times New Roman" w:eastAsia="Times New Roman" w:hAnsi="Times New Roman" w:cs="Times New Roman"/>
          <w:sz w:val="24"/>
          <w:szCs w:val="24"/>
          <w:lang w:eastAsia="cs-CZ"/>
        </w:rPr>
        <w:t xml:space="preserve">poskytovatelé </w:t>
      </w:r>
      <w:r w:rsidR="00B1201F">
        <w:rPr>
          <w:rFonts w:ascii="Times New Roman" w:eastAsia="Times New Roman" w:hAnsi="Times New Roman" w:cs="Times New Roman"/>
          <w:sz w:val="24"/>
          <w:szCs w:val="24"/>
          <w:lang w:eastAsia="cs-CZ"/>
        </w:rPr>
        <w:t>zdravotních</w:t>
      </w:r>
      <w:r w:rsidRPr="00440E3F">
        <w:rPr>
          <w:rFonts w:ascii="Times New Roman" w:eastAsia="Times New Roman" w:hAnsi="Times New Roman" w:cs="Times New Roman"/>
          <w:sz w:val="24"/>
          <w:szCs w:val="24"/>
          <w:lang w:eastAsia="cs-CZ"/>
        </w:rPr>
        <w:t xml:space="preserve"> služeb</w:t>
      </w:r>
      <w:r w:rsidR="00140708" w:rsidRPr="00140708">
        <w:t xml:space="preserve"> </w:t>
      </w:r>
      <w:r w:rsidR="00140708" w:rsidRPr="00140708">
        <w:rPr>
          <w:rFonts w:ascii="Times New Roman" w:eastAsia="Times New Roman" w:hAnsi="Times New Roman" w:cs="Times New Roman"/>
          <w:sz w:val="24"/>
          <w:szCs w:val="24"/>
          <w:lang w:eastAsia="cs-CZ"/>
        </w:rPr>
        <w:t>dle § 2 odst. 1 zákona č. 372/2011 Sb., o zdravotních službách</w:t>
      </w:r>
      <w:r w:rsidRPr="00440E3F">
        <w:rPr>
          <w:rFonts w:ascii="Times New Roman" w:eastAsia="Times New Roman" w:hAnsi="Times New Roman" w:cs="Times New Roman"/>
          <w:sz w:val="24"/>
          <w:szCs w:val="24"/>
          <w:lang w:eastAsia="cs-CZ"/>
        </w:rPr>
        <w:t>, kteří splňují všechny níže uvedené podmínky:</w:t>
      </w:r>
    </w:p>
    <w:p w:rsidR="002F53C4" w:rsidRPr="00305A06" w:rsidRDefault="002F53C4" w:rsidP="00440E3F">
      <w:pPr>
        <w:numPr>
          <w:ilvl w:val="1"/>
          <w:numId w:val="1"/>
        </w:numPr>
        <w:spacing w:before="120" w:after="0" w:line="240" w:lineRule="auto"/>
        <w:jc w:val="both"/>
        <w:rPr>
          <w:rFonts w:ascii="Times New Roman" w:eastAsia="Times New Roman" w:hAnsi="Times New Roman" w:cs="Times New Roman"/>
          <w:sz w:val="24"/>
          <w:szCs w:val="24"/>
          <w:lang w:eastAsia="cs-CZ"/>
        </w:rPr>
      </w:pPr>
      <w:r w:rsidRPr="00305A06">
        <w:rPr>
          <w:rFonts w:ascii="Times New Roman" w:hAnsi="Times New Roman" w:cs="Times New Roman"/>
          <w:bCs/>
          <w:sz w:val="24"/>
          <w:szCs w:val="24"/>
        </w:rPr>
        <w:t>poskytovatelé zdravotní služby lůžkové péče, kteří soustavně poskytují zdravotní služby zdravotnickými pracovníky vykonávajícími nelékařské zdravotnické povolání bez odborného dohledu střídavě ve třísměnném nebo nepřetržitém provozním režimu</w:t>
      </w:r>
    </w:p>
    <w:p w:rsidR="00140708" w:rsidRPr="00305A06" w:rsidRDefault="002F53C4" w:rsidP="00440E3F">
      <w:pPr>
        <w:numPr>
          <w:ilvl w:val="1"/>
          <w:numId w:val="1"/>
        </w:numPr>
        <w:spacing w:before="120" w:after="0" w:line="240" w:lineRule="auto"/>
        <w:jc w:val="both"/>
        <w:rPr>
          <w:rFonts w:ascii="Times New Roman" w:eastAsia="Times New Roman" w:hAnsi="Times New Roman" w:cs="Times New Roman"/>
          <w:sz w:val="24"/>
          <w:szCs w:val="24"/>
          <w:lang w:eastAsia="cs-CZ"/>
        </w:rPr>
      </w:pPr>
      <w:r w:rsidRPr="00305A06">
        <w:rPr>
          <w:rFonts w:ascii="Times New Roman" w:eastAsia="Times New Roman" w:hAnsi="Times New Roman" w:cs="Times New Roman"/>
          <w:sz w:val="24"/>
          <w:szCs w:val="24"/>
          <w:lang w:eastAsia="cs-CZ"/>
        </w:rPr>
        <w:t xml:space="preserve">mají sídlo na území </w:t>
      </w:r>
      <w:r w:rsidR="00440E3F" w:rsidRPr="00305A06">
        <w:rPr>
          <w:rFonts w:ascii="Times New Roman" w:eastAsia="Times New Roman" w:hAnsi="Times New Roman" w:cs="Times New Roman"/>
          <w:sz w:val="24"/>
          <w:szCs w:val="24"/>
          <w:lang w:eastAsia="cs-CZ"/>
        </w:rPr>
        <w:t>HMP</w:t>
      </w:r>
    </w:p>
    <w:p w:rsidR="00D4064C" w:rsidRPr="00D4064C" w:rsidRDefault="00D4064C" w:rsidP="00D4064C">
      <w:pPr>
        <w:spacing w:before="120" w:after="0" w:line="240" w:lineRule="auto"/>
        <w:ind w:left="708"/>
        <w:jc w:val="both"/>
        <w:rPr>
          <w:rFonts w:ascii="Times New Roman" w:eastAsia="Times New Roman" w:hAnsi="Times New Roman" w:cs="Times New Roman"/>
          <w:sz w:val="24"/>
          <w:szCs w:val="24"/>
          <w:lang w:eastAsia="cs-CZ"/>
        </w:rPr>
      </w:pPr>
    </w:p>
    <w:p w:rsidR="00440E3F" w:rsidRPr="00440E3F" w:rsidRDefault="00440E3F" w:rsidP="00440E3F">
      <w:pPr>
        <w:keepNext/>
        <w:keepLines/>
        <w:spacing w:before="480"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II</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Účel dotace</w:t>
      </w:r>
    </w:p>
    <w:p w:rsidR="00440E3F" w:rsidRPr="00440E3F" w:rsidRDefault="00440E3F" w:rsidP="00440E3F">
      <w:pPr>
        <w:spacing w:after="0" w:line="240" w:lineRule="auto"/>
        <w:ind w:left="714" w:hanging="357"/>
        <w:jc w:val="both"/>
      </w:pPr>
    </w:p>
    <w:p w:rsidR="00440E3F" w:rsidRPr="00305A06" w:rsidRDefault="008C327C" w:rsidP="00440E3F">
      <w:pPr>
        <w:numPr>
          <w:ilvl w:val="0"/>
          <w:numId w:val="2"/>
        </w:numPr>
        <w:spacing w:before="120" w:after="0" w:line="240" w:lineRule="auto"/>
        <w:contextualSpacing/>
        <w:jc w:val="both"/>
        <w:rPr>
          <w:rFonts w:ascii="Times New Roman" w:hAnsi="Times New Roman" w:cs="Times New Roman"/>
          <w:sz w:val="24"/>
          <w:szCs w:val="24"/>
        </w:rPr>
      </w:pPr>
      <w:r w:rsidRPr="00305A06">
        <w:rPr>
          <w:rFonts w:ascii="Times New Roman" w:hAnsi="Times New Roman" w:cs="Times New Roman"/>
          <w:sz w:val="24"/>
          <w:szCs w:val="24"/>
        </w:rPr>
        <w:t xml:space="preserve">Účelem zdravotnického dotačního programu je podpora a stabilizace personálního zabezpečení zdravotních služeb poskytovaných střídavě ve třísměnném nebo nepřetržitém provozním režimu, a to prostřednictvím poskytnutí dotace na zvýšení zvláštního příplatku k platu (zvláštní příplatek dle § 8 </w:t>
      </w:r>
      <w:r w:rsidR="00F53686" w:rsidRPr="00305A06">
        <w:rPr>
          <w:rFonts w:ascii="Times New Roman" w:hAnsi="Times New Roman" w:cs="Times New Roman"/>
          <w:sz w:val="24"/>
          <w:szCs w:val="24"/>
        </w:rPr>
        <w:t>N</w:t>
      </w:r>
      <w:r w:rsidRPr="00305A06">
        <w:rPr>
          <w:rFonts w:ascii="Times New Roman" w:hAnsi="Times New Roman" w:cs="Times New Roman"/>
          <w:sz w:val="24"/>
          <w:szCs w:val="24"/>
        </w:rPr>
        <w:t xml:space="preserve">ařízení) za práce zařazené do bodu 10 skupiny III. Přílohy č. 7 </w:t>
      </w:r>
      <w:r w:rsidR="00F53686" w:rsidRPr="00305A06">
        <w:rPr>
          <w:rFonts w:ascii="Times New Roman" w:hAnsi="Times New Roman" w:cs="Times New Roman"/>
          <w:sz w:val="24"/>
          <w:szCs w:val="24"/>
        </w:rPr>
        <w:t>N</w:t>
      </w:r>
      <w:r w:rsidRPr="00305A06">
        <w:rPr>
          <w:rFonts w:ascii="Times New Roman" w:hAnsi="Times New Roman" w:cs="Times New Roman"/>
          <w:sz w:val="24"/>
          <w:szCs w:val="24"/>
        </w:rPr>
        <w:t>ařízení nebo na analogické zvýšení mzdy zaměstnanců odměňovaných mzdou splňujících definici dle tohoto bodu.</w:t>
      </w:r>
      <w:r w:rsidR="00440E3F" w:rsidRPr="00305A06">
        <w:rPr>
          <w:rFonts w:ascii="Times New Roman" w:hAnsi="Times New Roman" w:cs="Times New Roman"/>
          <w:sz w:val="24"/>
          <w:szCs w:val="24"/>
        </w:rPr>
        <w:t xml:space="preserve"> </w:t>
      </w:r>
    </w:p>
    <w:p w:rsidR="00440E3F" w:rsidRPr="00440E3F" w:rsidRDefault="00440E3F" w:rsidP="00440E3F">
      <w:pPr>
        <w:keepNext/>
        <w:keepLines/>
        <w:spacing w:before="480"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III</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 xml:space="preserve">Všeobecné podmínky pro poskytnutí dotace </w:t>
      </w:r>
    </w:p>
    <w:p w:rsidR="00440E3F" w:rsidRPr="00440E3F" w:rsidRDefault="00440E3F" w:rsidP="00440E3F">
      <w:pPr>
        <w:spacing w:after="0" w:line="240" w:lineRule="auto"/>
        <w:ind w:left="360" w:hanging="357"/>
        <w:contextualSpacing/>
        <w:jc w:val="both"/>
        <w:rPr>
          <w:rFonts w:ascii="Times New Roman" w:hAnsi="Times New Roman" w:cs="Times New Roman"/>
          <w:sz w:val="24"/>
          <w:szCs w:val="24"/>
        </w:rPr>
      </w:pPr>
    </w:p>
    <w:p w:rsidR="00440E3F" w:rsidRDefault="00440E3F" w:rsidP="00240351">
      <w:pPr>
        <w:numPr>
          <w:ilvl w:val="0"/>
          <w:numId w:val="3"/>
        </w:numPr>
        <w:spacing w:before="120" w:after="0" w:line="240" w:lineRule="auto"/>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HMP poskytuje dotaci poskytovatelům </w:t>
      </w:r>
      <w:r w:rsidR="008C327C">
        <w:rPr>
          <w:rFonts w:ascii="Times New Roman" w:eastAsia="Times New Roman" w:hAnsi="Times New Roman" w:cs="Times New Roman"/>
          <w:sz w:val="24"/>
          <w:szCs w:val="24"/>
          <w:lang w:eastAsia="cs-CZ"/>
        </w:rPr>
        <w:t>zdravotních</w:t>
      </w:r>
      <w:r w:rsidRPr="00440E3F">
        <w:rPr>
          <w:rFonts w:ascii="Times New Roman" w:eastAsia="Times New Roman" w:hAnsi="Times New Roman" w:cs="Times New Roman"/>
          <w:sz w:val="24"/>
          <w:szCs w:val="24"/>
          <w:lang w:eastAsia="cs-CZ"/>
        </w:rPr>
        <w:t xml:space="preserve"> služeb na základě jejich žádosti. </w:t>
      </w:r>
    </w:p>
    <w:p w:rsidR="00240351" w:rsidRPr="00440E3F" w:rsidRDefault="00240351" w:rsidP="00240351">
      <w:pPr>
        <w:numPr>
          <w:ilvl w:val="0"/>
          <w:numId w:val="3"/>
        </w:numPr>
        <w:spacing w:before="120" w:after="0" w:line="240" w:lineRule="auto"/>
        <w:jc w:val="both"/>
        <w:rPr>
          <w:rFonts w:ascii="Times New Roman" w:eastAsia="Times New Roman" w:hAnsi="Times New Roman" w:cs="Times New Roman"/>
          <w:sz w:val="24"/>
          <w:szCs w:val="24"/>
          <w:lang w:eastAsia="cs-CZ"/>
        </w:rPr>
      </w:pPr>
      <w:r w:rsidRPr="00240351">
        <w:rPr>
          <w:rFonts w:ascii="Times New Roman" w:eastAsia="Times New Roman" w:hAnsi="Times New Roman" w:cs="Times New Roman"/>
          <w:sz w:val="24"/>
          <w:szCs w:val="24"/>
          <w:lang w:eastAsia="cs-CZ"/>
        </w:rPr>
        <w:t>Dotace je poskytována bezhotovostně na účet žadatele zřízený u peněžního ústavu, uvedený v žádosti.</w:t>
      </w:r>
    </w:p>
    <w:p w:rsidR="00440E3F" w:rsidRPr="008C327C" w:rsidRDefault="00440E3F" w:rsidP="008C327C">
      <w:pPr>
        <w:pStyle w:val="Odstavecseseznamem"/>
        <w:numPr>
          <w:ilvl w:val="0"/>
          <w:numId w:val="3"/>
        </w:numPr>
        <w:spacing w:before="120" w:after="0" w:line="240" w:lineRule="auto"/>
        <w:jc w:val="both"/>
        <w:rPr>
          <w:rFonts w:ascii="Times New Roman" w:eastAsia="Times New Roman" w:hAnsi="Times New Roman" w:cs="Times New Roman"/>
          <w:sz w:val="24"/>
          <w:szCs w:val="24"/>
          <w:lang w:eastAsia="cs-CZ"/>
        </w:rPr>
      </w:pPr>
      <w:r w:rsidRPr="008C327C">
        <w:rPr>
          <w:rFonts w:ascii="Times New Roman" w:eastAsia="Times New Roman" w:hAnsi="Times New Roman" w:cs="Times New Roman"/>
          <w:sz w:val="24"/>
          <w:szCs w:val="24"/>
          <w:lang w:eastAsia="cs-CZ"/>
        </w:rPr>
        <w:t xml:space="preserve">Výši dotace schvaluje </w:t>
      </w:r>
      <w:r w:rsidR="008C327C">
        <w:rPr>
          <w:rFonts w:ascii="Times New Roman" w:eastAsia="Times New Roman" w:hAnsi="Times New Roman" w:cs="Times New Roman"/>
          <w:sz w:val="24"/>
          <w:szCs w:val="24"/>
          <w:lang w:eastAsia="cs-CZ"/>
        </w:rPr>
        <w:t xml:space="preserve">Rada HMP nebo </w:t>
      </w:r>
      <w:r w:rsidRPr="008C327C">
        <w:rPr>
          <w:rFonts w:ascii="Times New Roman" w:eastAsia="Times New Roman" w:hAnsi="Times New Roman" w:cs="Times New Roman"/>
          <w:sz w:val="24"/>
          <w:szCs w:val="24"/>
          <w:lang w:eastAsia="cs-CZ"/>
        </w:rPr>
        <w:t>Zastupitelstvo HMP.</w:t>
      </w:r>
    </w:p>
    <w:p w:rsidR="00440E3F" w:rsidRPr="00832773" w:rsidRDefault="00440E3F" w:rsidP="005F6CF1">
      <w:pPr>
        <w:numPr>
          <w:ilvl w:val="0"/>
          <w:numId w:val="3"/>
        </w:numPr>
        <w:spacing w:before="120" w:after="0" w:line="240" w:lineRule="auto"/>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Dotace lze čerpat na </w:t>
      </w:r>
      <w:r w:rsidR="00240351" w:rsidRPr="00240351">
        <w:rPr>
          <w:rFonts w:ascii="Times New Roman" w:eastAsia="Times New Roman" w:hAnsi="Times New Roman" w:cs="Times New Roman"/>
          <w:sz w:val="24"/>
          <w:szCs w:val="24"/>
          <w:lang w:eastAsia="cs-CZ"/>
        </w:rPr>
        <w:t>krytí nákladů</w:t>
      </w:r>
      <w:r w:rsidR="00240351">
        <w:rPr>
          <w:rFonts w:ascii="Times New Roman" w:eastAsia="Times New Roman" w:hAnsi="Times New Roman" w:cs="Times New Roman"/>
          <w:sz w:val="24"/>
          <w:szCs w:val="24"/>
          <w:lang w:eastAsia="cs-CZ"/>
        </w:rPr>
        <w:t xml:space="preserve"> (</w:t>
      </w:r>
      <w:r w:rsidR="00240351" w:rsidRPr="00240351">
        <w:rPr>
          <w:rFonts w:ascii="Times New Roman" w:eastAsia="Times New Roman" w:hAnsi="Times New Roman" w:cs="Times New Roman"/>
          <w:sz w:val="24"/>
          <w:szCs w:val="24"/>
          <w:lang w:eastAsia="cs-CZ"/>
        </w:rPr>
        <w:t>na zvýšení zvláštního příplatku vypláceného dle § 8 Nařízení nebo analogické zvýšení mzdy a to pouze v případě, pokud byl příslušnému zaměstnanci navýšen zvláštní příplatek k platu nebo analogicky zvýšena mzda o nejméně 2 000,- Kč hrubého měsíčně</w:t>
      </w:r>
      <w:r w:rsidR="00240351">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vzniklých od </w:t>
      </w:r>
      <w:r w:rsidR="008C327C">
        <w:rPr>
          <w:rFonts w:ascii="Times New Roman" w:eastAsia="Times New Roman" w:hAnsi="Times New Roman" w:cs="Times New Roman"/>
          <w:sz w:val="24"/>
          <w:szCs w:val="24"/>
          <w:lang w:eastAsia="cs-CZ"/>
        </w:rPr>
        <w:t xml:space="preserve">1. července 2017 do 31. </w:t>
      </w:r>
      <w:r w:rsidR="00240351">
        <w:rPr>
          <w:rFonts w:ascii="Times New Roman" w:eastAsia="Times New Roman" w:hAnsi="Times New Roman" w:cs="Times New Roman"/>
          <w:sz w:val="24"/>
          <w:szCs w:val="24"/>
          <w:lang w:eastAsia="cs-CZ"/>
        </w:rPr>
        <w:t>prosince</w:t>
      </w:r>
      <w:r w:rsidR="008C327C">
        <w:rPr>
          <w:rFonts w:ascii="Times New Roman" w:eastAsia="Times New Roman" w:hAnsi="Times New Roman" w:cs="Times New Roman"/>
          <w:sz w:val="24"/>
          <w:szCs w:val="24"/>
          <w:lang w:eastAsia="cs-CZ"/>
        </w:rPr>
        <w:t xml:space="preserve"> 2017.</w:t>
      </w:r>
    </w:p>
    <w:p w:rsidR="00440E3F" w:rsidRDefault="00440E3F"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lastRenderedPageBreak/>
        <w:t>Příjemce dotace je povinen využít prostředky hosp</w:t>
      </w:r>
      <w:r w:rsidR="00240351">
        <w:rPr>
          <w:rFonts w:ascii="Times New Roman" w:eastAsia="Times New Roman" w:hAnsi="Times New Roman" w:cs="Times New Roman"/>
          <w:sz w:val="24"/>
          <w:szCs w:val="24"/>
          <w:lang w:eastAsia="cs-CZ"/>
        </w:rPr>
        <w:t xml:space="preserve">odárně a čerpat je v souladu se </w:t>
      </w:r>
      <w:r w:rsidRPr="00440E3F">
        <w:rPr>
          <w:rFonts w:ascii="Times New Roman" w:eastAsia="Times New Roman" w:hAnsi="Times New Roman" w:cs="Times New Roman"/>
          <w:sz w:val="24"/>
          <w:szCs w:val="24"/>
          <w:lang w:eastAsia="cs-CZ"/>
        </w:rPr>
        <w:t xml:space="preserve">zákonem č. 563/1991 Sb., o účetnictví, ve znění pozdějších předpisů (dále jen </w:t>
      </w:r>
      <w:r w:rsidRPr="00440E3F">
        <w:rPr>
          <w:rFonts w:ascii="Times New Roman" w:eastAsia="Times New Roman" w:hAnsi="Times New Roman" w:cs="Times New Roman"/>
          <w:i/>
          <w:sz w:val="24"/>
          <w:szCs w:val="24"/>
          <w:lang w:eastAsia="cs-CZ"/>
        </w:rPr>
        <w:t>„zákon o účetnictví“</w:t>
      </w:r>
      <w:r w:rsidRPr="00440E3F">
        <w:rPr>
          <w:rFonts w:ascii="Times New Roman" w:eastAsia="Times New Roman" w:hAnsi="Times New Roman" w:cs="Times New Roman"/>
          <w:sz w:val="24"/>
          <w:szCs w:val="24"/>
          <w:lang w:eastAsia="cs-CZ"/>
        </w:rPr>
        <w:t>), ostatními obecně platnými předpisy a se smlouvou o poskytnutí dotace (dále jen „</w:t>
      </w:r>
      <w:r w:rsidRPr="00440E3F">
        <w:rPr>
          <w:rFonts w:ascii="Times New Roman" w:eastAsia="Times New Roman" w:hAnsi="Times New Roman" w:cs="Times New Roman"/>
          <w:i/>
          <w:sz w:val="24"/>
          <w:szCs w:val="24"/>
          <w:lang w:eastAsia="cs-CZ"/>
        </w:rPr>
        <w:t>smlouva“</w:t>
      </w:r>
      <w:r w:rsidRPr="00440E3F">
        <w:rPr>
          <w:rFonts w:ascii="Times New Roman" w:eastAsia="Times New Roman" w:hAnsi="Times New Roman" w:cs="Times New Roman"/>
          <w:sz w:val="24"/>
          <w:szCs w:val="24"/>
          <w:lang w:eastAsia="cs-CZ"/>
        </w:rPr>
        <w:t>). Přidělená dotace může být využita jen na účely specifikované ve smlouvě.</w:t>
      </w:r>
    </w:p>
    <w:p w:rsidR="005F6CF1" w:rsidRPr="00440E3F" w:rsidRDefault="005F6CF1" w:rsidP="005F6CF1">
      <w:pPr>
        <w:numPr>
          <w:ilvl w:val="0"/>
          <w:numId w:val="3"/>
        </w:numPr>
        <w:spacing w:before="120" w:after="0" w:line="240" w:lineRule="auto"/>
        <w:jc w:val="both"/>
        <w:rPr>
          <w:rFonts w:ascii="Times New Roman" w:eastAsia="Times New Roman" w:hAnsi="Times New Roman" w:cs="Times New Roman"/>
          <w:sz w:val="24"/>
          <w:szCs w:val="24"/>
          <w:lang w:eastAsia="cs-CZ"/>
        </w:rPr>
      </w:pPr>
      <w:r w:rsidRPr="005F6CF1">
        <w:rPr>
          <w:rFonts w:ascii="Times New Roman" w:eastAsia="Times New Roman" w:hAnsi="Times New Roman" w:cs="Times New Roman"/>
          <w:sz w:val="24"/>
          <w:szCs w:val="24"/>
          <w:lang w:eastAsia="cs-CZ"/>
        </w:rPr>
        <w:t>Podmínkou pro přidělení dotace je naprostá transparentnost hospodaření.</w:t>
      </w:r>
    </w:p>
    <w:p w:rsidR="00440E3F" w:rsidRPr="00440E3F" w:rsidRDefault="00440E3F" w:rsidP="00440E3F">
      <w:pPr>
        <w:numPr>
          <w:ilvl w:val="0"/>
          <w:numId w:val="3"/>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Žadatel </w:t>
      </w:r>
      <w:r w:rsidR="00A6321F">
        <w:rPr>
          <w:rFonts w:ascii="Times New Roman" w:eastAsia="Times New Roman" w:hAnsi="Times New Roman" w:cs="Times New Roman"/>
          <w:sz w:val="24"/>
          <w:szCs w:val="24"/>
          <w:lang w:eastAsia="cs-CZ"/>
        </w:rPr>
        <w:t xml:space="preserve">o dotaci </w:t>
      </w:r>
      <w:r w:rsidRPr="00440E3F">
        <w:rPr>
          <w:rFonts w:ascii="Times New Roman" w:eastAsia="Times New Roman" w:hAnsi="Times New Roman" w:cs="Times New Roman"/>
          <w:sz w:val="24"/>
          <w:szCs w:val="24"/>
          <w:lang w:eastAsia="cs-CZ"/>
        </w:rPr>
        <w:t>souhlasí se zpracováním osobních údajů podle zákona č. 101/2000 Sb., o ochraně osobních údajů a o změně některých zákonů, ve znění pozdějších předpisů</w:t>
      </w:r>
      <w:r w:rsidR="00D06F39">
        <w:rPr>
          <w:rFonts w:ascii="Times New Roman" w:eastAsia="Times New Roman" w:hAnsi="Times New Roman" w:cs="Times New Roman"/>
          <w:sz w:val="24"/>
          <w:szCs w:val="24"/>
          <w:lang w:eastAsia="cs-CZ"/>
        </w:rPr>
        <w:t xml:space="preserve"> </w:t>
      </w:r>
      <w:r w:rsidR="00D06F39" w:rsidRPr="00440E3F">
        <w:rPr>
          <w:rFonts w:ascii="Times New Roman" w:eastAsia="Times New Roman" w:hAnsi="Times New Roman" w:cs="Times New Roman"/>
          <w:sz w:val="24"/>
          <w:szCs w:val="24"/>
          <w:lang w:eastAsia="cs-CZ"/>
        </w:rPr>
        <w:t xml:space="preserve">(dále jen </w:t>
      </w:r>
      <w:r w:rsidR="00D06F39" w:rsidRPr="00440E3F">
        <w:rPr>
          <w:rFonts w:ascii="Times New Roman" w:eastAsia="Times New Roman" w:hAnsi="Times New Roman" w:cs="Times New Roman"/>
          <w:i/>
          <w:sz w:val="24"/>
          <w:szCs w:val="24"/>
          <w:lang w:eastAsia="cs-CZ"/>
        </w:rPr>
        <w:t>„zákon o ochraně osobních údajů“</w:t>
      </w:r>
      <w:r w:rsidR="00D06F39" w:rsidRPr="00440E3F">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pro účely dotačního řízení. Je-li žadatelem fyzická osoba souhlasí se zpracováním svých osobních údajů </w:t>
      </w:r>
      <w:r w:rsidR="00F557E8">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jména, příjmení, rodného čísla a místa trvalého pobytu - HMP ke všem úkonům souvisejícím s dotačním řízením a s případným uvedením svých osobních údajů na tiskových materiálech HMP, určených k projednávání Radou HMP a Zastupitelstvem HMP, jakožto i na internetových stránkách HMP, a to po dobu nezbytnou k projednávání této záležitosti a k realizaci rozhodnutí příslušného orgánu HMP a dále po</w:t>
      </w:r>
      <w:r w:rsidR="00D06F39">
        <w:rPr>
          <w:rFonts w:ascii="Times New Roman" w:eastAsia="Times New Roman" w:hAnsi="Times New Roman" w:cs="Times New Roman"/>
          <w:sz w:val="24"/>
          <w:szCs w:val="24"/>
          <w:lang w:eastAsia="cs-CZ"/>
        </w:rPr>
        <w:t xml:space="preserve"> </w:t>
      </w:r>
      <w:r w:rsidRPr="00440E3F">
        <w:rPr>
          <w:rFonts w:ascii="Times New Roman" w:eastAsia="Times New Roman" w:hAnsi="Times New Roman" w:cs="Times New Roman"/>
          <w:sz w:val="24"/>
          <w:szCs w:val="24"/>
          <w:lang w:eastAsia="cs-CZ"/>
        </w:rPr>
        <w:t>dobu, po kterou je HMP povinno podle zákona o ochraně osobních údajů</w:t>
      </w:r>
      <w:r w:rsidR="00F557E8">
        <w:rPr>
          <w:rFonts w:ascii="Times New Roman" w:eastAsia="Times New Roman" w:hAnsi="Times New Roman" w:cs="Times New Roman"/>
          <w:sz w:val="24"/>
          <w:szCs w:val="24"/>
          <w:lang w:eastAsia="cs-CZ"/>
        </w:rPr>
        <w:t xml:space="preserve"> a zákona č. 499/2004 Sb., o </w:t>
      </w:r>
      <w:r w:rsidRPr="00440E3F">
        <w:rPr>
          <w:rFonts w:ascii="Times New Roman" w:eastAsia="Times New Roman" w:hAnsi="Times New Roman" w:cs="Times New Roman"/>
          <w:sz w:val="24"/>
          <w:szCs w:val="24"/>
          <w:lang w:eastAsia="cs-CZ"/>
        </w:rPr>
        <w:t>archivnictví a spisové službě a o změně některých zákonů, ve znění pozdějších předpisů, dokumenty obsahující osobní údaje žadatele zpracovávat/archivovat.</w:t>
      </w:r>
    </w:p>
    <w:p w:rsidR="00F557E8" w:rsidRDefault="00F557E8" w:rsidP="005A760D">
      <w:pPr>
        <w:pStyle w:val="Odstavecseseznamem"/>
        <w:spacing w:before="120" w:after="0" w:line="240" w:lineRule="auto"/>
        <w:ind w:left="783"/>
        <w:jc w:val="both"/>
        <w:rPr>
          <w:rFonts w:ascii="Times New Roman" w:eastAsia="Times New Roman" w:hAnsi="Times New Roman" w:cs="Times New Roman"/>
          <w:bCs/>
          <w:sz w:val="24"/>
          <w:szCs w:val="24"/>
          <w:lang w:eastAsia="cs-CZ"/>
        </w:rPr>
      </w:pPr>
    </w:p>
    <w:p w:rsidR="005F6CF1" w:rsidRPr="00F557E8" w:rsidRDefault="005F6CF1" w:rsidP="005A760D">
      <w:pPr>
        <w:pStyle w:val="Odstavecseseznamem"/>
        <w:spacing w:before="120" w:after="0" w:line="240" w:lineRule="auto"/>
        <w:ind w:left="783"/>
        <w:jc w:val="both"/>
        <w:rPr>
          <w:rFonts w:ascii="Times New Roman" w:eastAsia="Times New Roman" w:hAnsi="Times New Roman" w:cs="Times New Roman"/>
          <w:bCs/>
          <w:sz w:val="24"/>
          <w:szCs w:val="24"/>
          <w:lang w:eastAsia="cs-CZ"/>
        </w:rPr>
      </w:pP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IV</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 xml:space="preserve">Žádost o poskytnutí dotace </w:t>
      </w:r>
    </w:p>
    <w:p w:rsidR="00440E3F" w:rsidRPr="00440E3F" w:rsidRDefault="00440E3F" w:rsidP="00440E3F">
      <w:pPr>
        <w:spacing w:after="0" w:line="240" w:lineRule="auto"/>
        <w:ind w:left="714" w:hanging="357"/>
        <w:jc w:val="both"/>
      </w:pPr>
    </w:p>
    <w:p w:rsidR="00440E3F" w:rsidRDefault="00440E3F" w:rsidP="00440E3F">
      <w:pPr>
        <w:numPr>
          <w:ilvl w:val="0"/>
          <w:numId w:val="6"/>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Dotace se poskytuje na základě žádosti poskytovatele</w:t>
      </w:r>
      <w:r w:rsidR="009E41B3">
        <w:rPr>
          <w:rFonts w:ascii="Times New Roman" w:eastAsia="Times New Roman" w:hAnsi="Times New Roman" w:cs="Times New Roman"/>
          <w:sz w:val="24"/>
          <w:szCs w:val="24"/>
          <w:lang w:eastAsia="cs-CZ"/>
        </w:rPr>
        <w:t xml:space="preserve"> zdravotních</w:t>
      </w:r>
      <w:r w:rsidRPr="00440E3F">
        <w:rPr>
          <w:rFonts w:ascii="Times New Roman" w:eastAsia="Times New Roman" w:hAnsi="Times New Roman" w:cs="Times New Roman"/>
          <w:sz w:val="24"/>
          <w:szCs w:val="24"/>
          <w:lang w:eastAsia="cs-CZ"/>
        </w:rPr>
        <w:t xml:space="preserve"> služeb o poskytnutí dotace. Žádost může podat pouze poskytovatel </w:t>
      </w:r>
      <w:r w:rsidR="009E41B3">
        <w:rPr>
          <w:rFonts w:ascii="Times New Roman" w:eastAsia="Times New Roman" w:hAnsi="Times New Roman" w:cs="Times New Roman"/>
          <w:sz w:val="24"/>
          <w:szCs w:val="24"/>
          <w:lang w:eastAsia="cs-CZ"/>
        </w:rPr>
        <w:t>zdravotních</w:t>
      </w:r>
      <w:r w:rsidRPr="00440E3F">
        <w:rPr>
          <w:rFonts w:ascii="Times New Roman" w:eastAsia="Times New Roman" w:hAnsi="Times New Roman" w:cs="Times New Roman"/>
          <w:sz w:val="24"/>
          <w:szCs w:val="24"/>
          <w:lang w:eastAsia="cs-CZ"/>
        </w:rPr>
        <w:t xml:space="preserve"> služeb, proti němuž není vedeno trestní řízení </w:t>
      </w:r>
      <w:r w:rsidR="00F557E8">
        <w:rPr>
          <w:rFonts w:ascii="Times New Roman" w:eastAsia="Times New Roman" w:hAnsi="Times New Roman" w:cs="Times New Roman"/>
          <w:sz w:val="24"/>
          <w:szCs w:val="24"/>
          <w:lang w:eastAsia="cs-CZ"/>
        </w:rPr>
        <w:t>ve věci</w:t>
      </w:r>
      <w:r w:rsidRPr="00440E3F">
        <w:rPr>
          <w:rFonts w:ascii="Times New Roman" w:eastAsia="Times New Roman" w:hAnsi="Times New Roman" w:cs="Times New Roman"/>
          <w:sz w:val="24"/>
          <w:szCs w:val="24"/>
          <w:lang w:eastAsia="cs-CZ"/>
        </w:rPr>
        <w:t xml:space="preserve"> dotačního podvodu.</w:t>
      </w:r>
    </w:p>
    <w:p w:rsidR="00283305" w:rsidRPr="00283305" w:rsidRDefault="00283305" w:rsidP="00440E3F">
      <w:pPr>
        <w:numPr>
          <w:ilvl w:val="0"/>
          <w:numId w:val="6"/>
        </w:numPr>
        <w:spacing w:before="120" w:after="0" w:line="240" w:lineRule="auto"/>
        <w:ind w:left="714"/>
        <w:jc w:val="both"/>
        <w:rPr>
          <w:rFonts w:ascii="Times New Roman" w:eastAsia="Times New Roman" w:hAnsi="Times New Roman" w:cs="Times New Roman"/>
          <w:sz w:val="24"/>
          <w:szCs w:val="24"/>
          <w:lang w:eastAsia="cs-CZ"/>
        </w:rPr>
      </w:pPr>
      <w:r w:rsidRPr="00283305">
        <w:rPr>
          <w:rFonts w:ascii="Times New Roman" w:hAnsi="Times New Roman" w:cs="Times New Roman"/>
          <w:sz w:val="24"/>
          <w:szCs w:val="24"/>
        </w:rPr>
        <w:t xml:space="preserve">Formulář žádosti včetně podmínek je k dispozici na internetových stránkách </w:t>
      </w:r>
      <w:hyperlink r:id="rId8" w:history="1">
        <w:r w:rsidRPr="00283305">
          <w:rPr>
            <w:rStyle w:val="Hypertextovodkaz"/>
            <w:rFonts w:ascii="Times New Roman" w:hAnsi="Times New Roman" w:cs="Times New Roman"/>
            <w:sz w:val="24"/>
            <w:szCs w:val="24"/>
          </w:rPr>
          <w:t>www.praha.eu</w:t>
        </w:r>
      </w:hyperlink>
      <w:r w:rsidRPr="00283305">
        <w:rPr>
          <w:rFonts w:ascii="Times New Roman" w:hAnsi="Times New Roman" w:cs="Times New Roman"/>
          <w:sz w:val="24"/>
          <w:szCs w:val="24"/>
        </w:rPr>
        <w:t>.</w:t>
      </w:r>
    </w:p>
    <w:p w:rsidR="00825ED1" w:rsidRDefault="00825ED1" w:rsidP="00825ED1">
      <w:pPr>
        <w:numPr>
          <w:ilvl w:val="0"/>
          <w:numId w:val="6"/>
        </w:numPr>
        <w:spacing w:before="120" w:after="0" w:line="240" w:lineRule="auto"/>
        <w:jc w:val="both"/>
        <w:rPr>
          <w:rFonts w:ascii="Times New Roman" w:eastAsia="Times New Roman" w:hAnsi="Times New Roman" w:cs="Times New Roman"/>
          <w:sz w:val="24"/>
          <w:szCs w:val="24"/>
          <w:lang w:eastAsia="cs-CZ"/>
        </w:rPr>
      </w:pPr>
      <w:r w:rsidRPr="00825ED1">
        <w:rPr>
          <w:rFonts w:ascii="Times New Roman" w:eastAsia="Times New Roman" w:hAnsi="Times New Roman" w:cs="Times New Roman"/>
          <w:sz w:val="24"/>
          <w:szCs w:val="24"/>
          <w:lang w:eastAsia="cs-CZ"/>
        </w:rPr>
        <w:t>Žádost bude předložena Magistrátu hlavního města Prahy (dále jen „MHMP“) v požadovaném termínu a v závazné formě - žádost musí být včetně všech příloh řádně vyplněná dle podmínek stanovených v těchto Pravidlech a předložena ve dvou písemných vyhotoveních (jeden originál a jedna kopie) a v elektronické verzi zaslané na CD případně flash disku nebo zasláním souboru datovou schránkou (vždy výhradně v původním formátu žádosti, tedy xlsx) v řádném termínu.</w:t>
      </w:r>
    </w:p>
    <w:p w:rsidR="00283305" w:rsidRDefault="00283305" w:rsidP="00283305">
      <w:pPr>
        <w:numPr>
          <w:ilvl w:val="0"/>
          <w:numId w:val="6"/>
        </w:numPr>
        <w:spacing w:before="120" w:after="0" w:line="240" w:lineRule="auto"/>
        <w:ind w:left="714"/>
        <w:jc w:val="both"/>
        <w:rPr>
          <w:rFonts w:ascii="Times New Roman" w:hAnsi="Times New Roman" w:cs="Times New Roman"/>
          <w:sz w:val="24"/>
          <w:szCs w:val="24"/>
        </w:rPr>
      </w:pPr>
      <w:r w:rsidRPr="00A738D8">
        <w:rPr>
          <w:rFonts w:ascii="Times New Roman" w:hAnsi="Times New Roman" w:cs="Times New Roman"/>
          <w:sz w:val="24"/>
          <w:szCs w:val="24"/>
        </w:rPr>
        <w:t>Písemn</w:t>
      </w:r>
      <w:r>
        <w:rPr>
          <w:rFonts w:ascii="Times New Roman" w:hAnsi="Times New Roman" w:cs="Times New Roman"/>
          <w:sz w:val="24"/>
          <w:szCs w:val="24"/>
        </w:rPr>
        <w:t>á</w:t>
      </w:r>
      <w:r w:rsidRPr="00A738D8">
        <w:rPr>
          <w:rFonts w:ascii="Times New Roman" w:hAnsi="Times New Roman" w:cs="Times New Roman"/>
          <w:sz w:val="24"/>
          <w:szCs w:val="24"/>
        </w:rPr>
        <w:t xml:space="preserve"> </w:t>
      </w:r>
      <w:r>
        <w:rPr>
          <w:rFonts w:ascii="Times New Roman" w:hAnsi="Times New Roman" w:cs="Times New Roman"/>
          <w:sz w:val="24"/>
          <w:szCs w:val="24"/>
        </w:rPr>
        <w:t>i elektronická žádost</w:t>
      </w:r>
      <w:r w:rsidRPr="00A738D8">
        <w:rPr>
          <w:rFonts w:ascii="Times New Roman" w:hAnsi="Times New Roman" w:cs="Times New Roman"/>
          <w:sz w:val="24"/>
          <w:szCs w:val="24"/>
        </w:rPr>
        <w:t xml:space="preserve"> se skládá z:</w:t>
      </w:r>
    </w:p>
    <w:p w:rsidR="00BB25C5" w:rsidRPr="00BB25C5" w:rsidRDefault="00BB25C5" w:rsidP="00BB25C5">
      <w:pPr>
        <w:pStyle w:val="Odstavecseseznamem"/>
        <w:numPr>
          <w:ilvl w:val="0"/>
          <w:numId w:val="22"/>
        </w:numPr>
        <w:spacing w:before="120" w:after="0" w:line="240" w:lineRule="auto"/>
        <w:jc w:val="both"/>
        <w:rPr>
          <w:rFonts w:ascii="Times New Roman" w:hAnsi="Times New Roman" w:cs="Times New Roman"/>
          <w:sz w:val="24"/>
          <w:szCs w:val="24"/>
        </w:rPr>
      </w:pPr>
      <w:r w:rsidRPr="00BB25C5">
        <w:rPr>
          <w:rFonts w:ascii="Times New Roman" w:hAnsi="Times New Roman" w:cs="Times New Roman"/>
          <w:sz w:val="24"/>
          <w:szCs w:val="24"/>
        </w:rPr>
        <w:t>Kompletně vyplněného formuláře žádosti; formulář je k dispozici na internetových stránkách</w:t>
      </w:r>
      <w:r>
        <w:rPr>
          <w:rFonts w:ascii="Times New Roman" w:hAnsi="Times New Roman" w:cs="Times New Roman"/>
          <w:sz w:val="24"/>
          <w:szCs w:val="24"/>
        </w:rPr>
        <w:t xml:space="preserve"> HMP</w:t>
      </w:r>
    </w:p>
    <w:p w:rsidR="00BB25C5" w:rsidRPr="00BB25C5" w:rsidRDefault="00283305" w:rsidP="00BB25C5">
      <w:pPr>
        <w:pStyle w:val="Odstavecseseznamem"/>
        <w:numPr>
          <w:ilvl w:val="0"/>
          <w:numId w:val="22"/>
        </w:numPr>
        <w:spacing w:before="120" w:after="0" w:line="240" w:lineRule="auto"/>
        <w:jc w:val="both"/>
        <w:rPr>
          <w:rFonts w:ascii="Times New Roman" w:hAnsi="Times New Roman" w:cs="Times New Roman"/>
          <w:sz w:val="24"/>
          <w:szCs w:val="24"/>
        </w:rPr>
      </w:pPr>
      <w:r w:rsidRPr="00BB25C5">
        <w:rPr>
          <w:rFonts w:ascii="Times New Roman" w:hAnsi="Times New Roman" w:cs="Times New Roman"/>
          <w:sz w:val="24"/>
          <w:szCs w:val="24"/>
        </w:rPr>
        <w:t>Čestné</w:t>
      </w:r>
      <w:r w:rsidR="00BB25C5">
        <w:rPr>
          <w:rFonts w:ascii="Times New Roman" w:hAnsi="Times New Roman" w:cs="Times New Roman"/>
          <w:sz w:val="24"/>
          <w:szCs w:val="24"/>
        </w:rPr>
        <w:t>ho</w:t>
      </w:r>
      <w:r w:rsidRPr="00BB25C5">
        <w:rPr>
          <w:rFonts w:ascii="Times New Roman" w:hAnsi="Times New Roman" w:cs="Times New Roman"/>
          <w:sz w:val="24"/>
          <w:szCs w:val="24"/>
        </w:rPr>
        <w:t xml:space="preserve"> prohlášení o bezdlužnosti vůči orgánům státní správy, zdravotním pojišťovnám orgánům sociálního zabezpečení, vůči místně příslušnému finančnímu úřadu a vůči územním samosprávným celkům,</w:t>
      </w:r>
    </w:p>
    <w:p w:rsidR="00283305" w:rsidRPr="00BB25C5" w:rsidRDefault="00283305" w:rsidP="00BB25C5">
      <w:pPr>
        <w:pStyle w:val="Odstavecseseznamem"/>
        <w:numPr>
          <w:ilvl w:val="0"/>
          <w:numId w:val="22"/>
        </w:numPr>
        <w:spacing w:before="120" w:after="0" w:line="240" w:lineRule="auto"/>
        <w:jc w:val="both"/>
        <w:rPr>
          <w:rFonts w:ascii="Times New Roman" w:hAnsi="Times New Roman" w:cs="Times New Roman"/>
          <w:sz w:val="24"/>
          <w:szCs w:val="24"/>
        </w:rPr>
      </w:pPr>
      <w:r w:rsidRPr="00BB25C5">
        <w:rPr>
          <w:rFonts w:ascii="Times New Roman" w:hAnsi="Times New Roman" w:cs="Times New Roman"/>
          <w:sz w:val="24"/>
          <w:szCs w:val="24"/>
        </w:rPr>
        <w:t>Dokument</w:t>
      </w:r>
      <w:r w:rsidR="00BB25C5">
        <w:rPr>
          <w:rFonts w:ascii="Times New Roman" w:hAnsi="Times New Roman" w:cs="Times New Roman"/>
          <w:sz w:val="24"/>
          <w:szCs w:val="24"/>
        </w:rPr>
        <w:t>ů</w:t>
      </w:r>
      <w:r w:rsidRPr="00BB25C5">
        <w:rPr>
          <w:rFonts w:ascii="Times New Roman" w:hAnsi="Times New Roman" w:cs="Times New Roman"/>
          <w:sz w:val="24"/>
          <w:szCs w:val="24"/>
        </w:rPr>
        <w:t xml:space="preserve"> potvrzující</w:t>
      </w:r>
      <w:r w:rsidR="00BB25C5">
        <w:rPr>
          <w:rFonts w:ascii="Times New Roman" w:hAnsi="Times New Roman" w:cs="Times New Roman"/>
          <w:sz w:val="24"/>
          <w:szCs w:val="24"/>
        </w:rPr>
        <w:t>ch vznik subjektu</w:t>
      </w:r>
    </w:p>
    <w:p w:rsidR="00283305" w:rsidRPr="00BB25C5" w:rsidRDefault="00283305" w:rsidP="00BB25C5">
      <w:pPr>
        <w:pStyle w:val="Odstavecseseznamem"/>
        <w:numPr>
          <w:ilvl w:val="0"/>
          <w:numId w:val="22"/>
        </w:numPr>
        <w:spacing w:before="120" w:after="0" w:line="240" w:lineRule="auto"/>
        <w:jc w:val="both"/>
        <w:rPr>
          <w:rFonts w:ascii="Times New Roman" w:hAnsi="Times New Roman" w:cs="Times New Roman"/>
          <w:sz w:val="24"/>
          <w:szCs w:val="24"/>
        </w:rPr>
      </w:pPr>
      <w:r w:rsidRPr="00BB25C5">
        <w:rPr>
          <w:rFonts w:ascii="Times New Roman" w:hAnsi="Times New Roman" w:cs="Times New Roman"/>
          <w:sz w:val="24"/>
          <w:szCs w:val="24"/>
        </w:rPr>
        <w:t xml:space="preserve">Kopie oprávnění k poskytování zdravotních služeb v souladu se zákonem o zdravotních službách,  </w:t>
      </w:r>
    </w:p>
    <w:p w:rsidR="00283305" w:rsidRPr="00BB25C5" w:rsidRDefault="00283305" w:rsidP="00BB25C5">
      <w:pPr>
        <w:pStyle w:val="Odstavecseseznamem"/>
        <w:numPr>
          <w:ilvl w:val="0"/>
          <w:numId w:val="22"/>
        </w:numPr>
        <w:spacing w:before="120" w:after="0" w:line="240" w:lineRule="auto"/>
        <w:jc w:val="both"/>
        <w:rPr>
          <w:rFonts w:ascii="Times New Roman" w:hAnsi="Times New Roman" w:cs="Times New Roman"/>
          <w:sz w:val="24"/>
          <w:szCs w:val="24"/>
        </w:rPr>
      </w:pPr>
      <w:r w:rsidRPr="00BB25C5">
        <w:rPr>
          <w:rFonts w:ascii="Times New Roman" w:hAnsi="Times New Roman" w:cs="Times New Roman"/>
          <w:sz w:val="24"/>
          <w:szCs w:val="24"/>
        </w:rPr>
        <w:t>Kopi</w:t>
      </w:r>
      <w:r w:rsidR="00BB25C5">
        <w:rPr>
          <w:rFonts w:ascii="Times New Roman" w:hAnsi="Times New Roman" w:cs="Times New Roman"/>
          <w:sz w:val="24"/>
          <w:szCs w:val="24"/>
        </w:rPr>
        <w:t>i</w:t>
      </w:r>
      <w:r w:rsidRPr="00BB25C5">
        <w:rPr>
          <w:rFonts w:ascii="Times New Roman" w:hAnsi="Times New Roman" w:cs="Times New Roman"/>
          <w:sz w:val="24"/>
          <w:szCs w:val="24"/>
        </w:rPr>
        <w:t xml:space="preserve"> smlouvy o běžném účtu, na který bude převedena poskytnutá dotace, </w:t>
      </w:r>
    </w:p>
    <w:p w:rsidR="00BB25C5" w:rsidRPr="00BB25C5" w:rsidRDefault="00BB25C5" w:rsidP="00BB25C5">
      <w:pPr>
        <w:pStyle w:val="Odstavecseseznamem"/>
        <w:numPr>
          <w:ilvl w:val="0"/>
          <w:numId w:val="22"/>
        </w:numPr>
        <w:spacing w:before="120" w:after="0" w:line="240" w:lineRule="auto"/>
        <w:jc w:val="both"/>
        <w:rPr>
          <w:rFonts w:ascii="Times New Roman" w:hAnsi="Times New Roman" w:cs="Times New Roman"/>
          <w:sz w:val="24"/>
          <w:szCs w:val="24"/>
        </w:rPr>
      </w:pPr>
      <w:r w:rsidRPr="00BB25C5">
        <w:rPr>
          <w:rFonts w:ascii="Times New Roman" w:hAnsi="Times New Roman" w:cs="Times New Roman"/>
          <w:sz w:val="24"/>
          <w:szCs w:val="24"/>
        </w:rPr>
        <w:lastRenderedPageBreak/>
        <w:t xml:space="preserve">ověřené kopie dokladu oprávnění osoby jednat za žadatele: </w:t>
      </w:r>
    </w:p>
    <w:p w:rsidR="00BB25C5" w:rsidRPr="00BB25C5" w:rsidRDefault="00BB25C5" w:rsidP="00BB25C5">
      <w:pPr>
        <w:pStyle w:val="Odstavecseseznamem"/>
        <w:numPr>
          <w:ilvl w:val="0"/>
          <w:numId w:val="26"/>
        </w:numPr>
        <w:spacing w:before="120" w:after="0" w:line="240" w:lineRule="auto"/>
        <w:jc w:val="both"/>
        <w:rPr>
          <w:rFonts w:ascii="Times New Roman" w:hAnsi="Times New Roman" w:cs="Times New Roman"/>
          <w:sz w:val="24"/>
          <w:szCs w:val="24"/>
        </w:rPr>
      </w:pPr>
      <w:r w:rsidRPr="00BB25C5">
        <w:rPr>
          <w:rFonts w:ascii="Times New Roman" w:hAnsi="Times New Roman" w:cs="Times New Roman"/>
          <w:sz w:val="24"/>
          <w:szCs w:val="24"/>
        </w:rPr>
        <w:t>statutární orgán – oprávnění zastupovat žadatele doloží pouze ten, který toto oprávnění nemá zapsáno ve veřejném rejstříku (obchodní rejstřík, spolkový rejstřík apod.), v případě relevantnosti bude doloženo dokladem o volbě statutárního orgánu, spolky doloží zároveň platné znění stanov,</w:t>
      </w:r>
    </w:p>
    <w:p w:rsidR="00283305" w:rsidRPr="00BB25C5" w:rsidRDefault="00BB25C5" w:rsidP="00BB25C5">
      <w:pPr>
        <w:pStyle w:val="Odstavecseseznamem"/>
        <w:numPr>
          <w:ilvl w:val="0"/>
          <w:numId w:val="26"/>
        </w:numPr>
        <w:spacing w:before="120" w:after="0" w:line="240" w:lineRule="auto"/>
        <w:jc w:val="both"/>
        <w:rPr>
          <w:rFonts w:ascii="Times New Roman" w:hAnsi="Times New Roman" w:cs="Times New Roman"/>
          <w:sz w:val="24"/>
          <w:szCs w:val="24"/>
        </w:rPr>
      </w:pPr>
      <w:r w:rsidRPr="00BB25C5">
        <w:rPr>
          <w:rFonts w:ascii="Times New Roman" w:hAnsi="Times New Roman" w:cs="Times New Roman"/>
          <w:sz w:val="24"/>
          <w:szCs w:val="24"/>
        </w:rPr>
        <w:t>oprávněná pověřená osoba - osoba, která může jednat za žadatele místo statutárního orgánu; jedná-li za žadatele jiná osoba než osoba k tomu oprávněná dle výše uvedených dokladů, musí předložit zmocnění udělené</w:t>
      </w:r>
      <w:r>
        <w:rPr>
          <w:rFonts w:ascii="Times New Roman" w:hAnsi="Times New Roman" w:cs="Times New Roman"/>
          <w:sz w:val="24"/>
          <w:szCs w:val="24"/>
        </w:rPr>
        <w:t xml:space="preserve"> příslušným statutárním orgánem</w:t>
      </w:r>
      <w:r w:rsidR="00305A06">
        <w:rPr>
          <w:rFonts w:ascii="Times New Roman" w:hAnsi="Times New Roman" w:cs="Times New Roman"/>
          <w:sz w:val="24"/>
          <w:szCs w:val="24"/>
        </w:rPr>
        <w:t>, ne starší než 3 měsíce</w:t>
      </w:r>
      <w:r>
        <w:rPr>
          <w:rFonts w:ascii="Times New Roman" w:hAnsi="Times New Roman" w:cs="Times New Roman"/>
          <w:sz w:val="24"/>
          <w:szCs w:val="24"/>
        </w:rPr>
        <w:t>.</w:t>
      </w:r>
    </w:p>
    <w:p w:rsidR="00440E3F" w:rsidRDefault="00440E3F" w:rsidP="00440E3F">
      <w:pPr>
        <w:numPr>
          <w:ilvl w:val="0"/>
          <w:numId w:val="6"/>
        </w:numPr>
        <w:spacing w:before="120" w:after="0" w:line="240" w:lineRule="auto"/>
        <w:ind w:left="714"/>
        <w:jc w:val="both"/>
        <w:rPr>
          <w:rFonts w:ascii="Times New Roman" w:hAnsi="Times New Roman" w:cs="Times New Roman"/>
          <w:sz w:val="24"/>
          <w:szCs w:val="24"/>
        </w:rPr>
      </w:pPr>
      <w:r w:rsidRPr="00AE0128">
        <w:rPr>
          <w:rFonts w:ascii="Times New Roman" w:hAnsi="Times New Roman" w:cs="Times New Roman"/>
          <w:sz w:val="24"/>
          <w:szCs w:val="24"/>
        </w:rPr>
        <w:t xml:space="preserve">Do dotačního řízení se zařazují </w:t>
      </w:r>
      <w:r w:rsidRPr="00AE0128">
        <w:rPr>
          <w:rFonts w:ascii="Times New Roman" w:hAnsi="Times New Roman" w:cs="Times New Roman"/>
          <w:b/>
          <w:sz w:val="24"/>
          <w:szCs w:val="24"/>
        </w:rPr>
        <w:t>žádosti podané</w:t>
      </w:r>
      <w:r w:rsidR="0016373C" w:rsidRPr="00AE0128">
        <w:rPr>
          <w:rFonts w:ascii="Times New Roman" w:hAnsi="Times New Roman" w:cs="Times New Roman"/>
          <w:b/>
          <w:sz w:val="24"/>
          <w:szCs w:val="24"/>
        </w:rPr>
        <w:t xml:space="preserve"> od 1</w:t>
      </w:r>
      <w:r w:rsidR="00825ED1">
        <w:rPr>
          <w:rFonts w:ascii="Times New Roman" w:hAnsi="Times New Roman" w:cs="Times New Roman"/>
          <w:b/>
          <w:sz w:val="24"/>
          <w:szCs w:val="24"/>
        </w:rPr>
        <w:t>9</w:t>
      </w:r>
      <w:r w:rsidR="0016373C" w:rsidRPr="00AE0128">
        <w:rPr>
          <w:rFonts w:ascii="Times New Roman" w:hAnsi="Times New Roman" w:cs="Times New Roman"/>
          <w:b/>
          <w:sz w:val="24"/>
          <w:szCs w:val="24"/>
        </w:rPr>
        <w:t xml:space="preserve">. </w:t>
      </w:r>
      <w:r w:rsidR="009E41B3">
        <w:rPr>
          <w:rFonts w:ascii="Times New Roman" w:hAnsi="Times New Roman" w:cs="Times New Roman"/>
          <w:b/>
          <w:sz w:val="24"/>
          <w:szCs w:val="24"/>
        </w:rPr>
        <w:t>září</w:t>
      </w:r>
      <w:r w:rsidR="0016373C" w:rsidRPr="00AE0128">
        <w:rPr>
          <w:rFonts w:ascii="Times New Roman" w:hAnsi="Times New Roman" w:cs="Times New Roman"/>
          <w:b/>
          <w:sz w:val="24"/>
          <w:szCs w:val="24"/>
        </w:rPr>
        <w:t xml:space="preserve"> 201</w:t>
      </w:r>
      <w:r w:rsidR="009E41B3">
        <w:rPr>
          <w:rFonts w:ascii="Times New Roman" w:hAnsi="Times New Roman" w:cs="Times New Roman"/>
          <w:b/>
          <w:sz w:val="24"/>
          <w:szCs w:val="24"/>
        </w:rPr>
        <w:t>7</w:t>
      </w:r>
      <w:r w:rsidRPr="00AE0128">
        <w:rPr>
          <w:rFonts w:ascii="Times New Roman" w:hAnsi="Times New Roman" w:cs="Times New Roman"/>
          <w:b/>
          <w:sz w:val="24"/>
          <w:szCs w:val="24"/>
        </w:rPr>
        <w:t xml:space="preserve"> do </w:t>
      </w:r>
      <w:r w:rsidR="009E41B3">
        <w:rPr>
          <w:rFonts w:ascii="Times New Roman" w:hAnsi="Times New Roman" w:cs="Times New Roman"/>
          <w:b/>
          <w:sz w:val="24"/>
          <w:szCs w:val="24"/>
        </w:rPr>
        <w:t>26</w:t>
      </w:r>
      <w:r w:rsidR="0016373C" w:rsidRPr="00AE0128">
        <w:rPr>
          <w:rFonts w:ascii="Times New Roman" w:hAnsi="Times New Roman" w:cs="Times New Roman"/>
          <w:b/>
          <w:sz w:val="24"/>
          <w:szCs w:val="24"/>
        </w:rPr>
        <w:t xml:space="preserve">. </w:t>
      </w:r>
      <w:r w:rsidR="009E41B3">
        <w:rPr>
          <w:rFonts w:ascii="Times New Roman" w:hAnsi="Times New Roman" w:cs="Times New Roman"/>
          <w:b/>
          <w:sz w:val="24"/>
          <w:szCs w:val="24"/>
        </w:rPr>
        <w:t>září</w:t>
      </w:r>
      <w:r w:rsidRPr="00AE0128">
        <w:rPr>
          <w:rFonts w:ascii="Times New Roman" w:hAnsi="Times New Roman" w:cs="Times New Roman"/>
          <w:b/>
          <w:sz w:val="24"/>
          <w:szCs w:val="24"/>
        </w:rPr>
        <w:t xml:space="preserve"> 201</w:t>
      </w:r>
      <w:r w:rsidR="009E41B3">
        <w:rPr>
          <w:rFonts w:ascii="Times New Roman" w:hAnsi="Times New Roman" w:cs="Times New Roman"/>
          <w:b/>
          <w:sz w:val="24"/>
          <w:szCs w:val="24"/>
        </w:rPr>
        <w:t>7</w:t>
      </w:r>
      <w:r w:rsidRPr="00AE0128">
        <w:rPr>
          <w:rFonts w:ascii="Times New Roman" w:hAnsi="Times New Roman" w:cs="Times New Roman"/>
          <w:b/>
          <w:sz w:val="24"/>
          <w:szCs w:val="24"/>
        </w:rPr>
        <w:t xml:space="preserve"> (včetně)</w:t>
      </w:r>
      <w:r w:rsidRPr="00AE0128">
        <w:rPr>
          <w:rFonts w:ascii="Times New Roman" w:hAnsi="Times New Roman" w:cs="Times New Roman"/>
          <w:sz w:val="24"/>
          <w:szCs w:val="24"/>
        </w:rPr>
        <w:t>.</w:t>
      </w:r>
    </w:p>
    <w:p w:rsidR="00825ED1" w:rsidRPr="00C66964" w:rsidRDefault="00C66964" w:rsidP="00440E3F">
      <w:pPr>
        <w:numPr>
          <w:ilvl w:val="0"/>
          <w:numId w:val="6"/>
        </w:numPr>
        <w:spacing w:before="120" w:after="0" w:line="240" w:lineRule="auto"/>
        <w:ind w:left="714"/>
        <w:jc w:val="both"/>
        <w:rPr>
          <w:rFonts w:ascii="Times New Roman" w:hAnsi="Times New Roman" w:cs="Times New Roman"/>
          <w:sz w:val="24"/>
          <w:szCs w:val="24"/>
        </w:rPr>
      </w:pPr>
      <w:r w:rsidRPr="00440E3F">
        <w:rPr>
          <w:rFonts w:ascii="Times New Roman" w:eastAsia="Times New Roman" w:hAnsi="Times New Roman" w:cs="Times New Roman"/>
          <w:sz w:val="24"/>
          <w:szCs w:val="24"/>
          <w:lang w:eastAsia="cs-CZ"/>
        </w:rPr>
        <w:t>Konzultace k vyhlášenému dotačnímu řízení poskytují:</w:t>
      </w:r>
    </w:p>
    <w:p w:rsidR="00C66964" w:rsidRPr="00C66964" w:rsidRDefault="00C66964" w:rsidP="009555E2">
      <w:pPr>
        <w:spacing w:before="120" w:after="0" w:line="240" w:lineRule="auto"/>
        <w:ind w:left="6" w:firstLine="708"/>
        <w:jc w:val="both"/>
        <w:rPr>
          <w:rFonts w:ascii="Times New Roman" w:eastAsia="Times New Roman" w:hAnsi="Times New Roman" w:cs="Times New Roman"/>
          <w:sz w:val="24"/>
          <w:szCs w:val="24"/>
          <w:lang w:eastAsia="cs-CZ"/>
        </w:rPr>
      </w:pPr>
      <w:r w:rsidRPr="00C66964">
        <w:rPr>
          <w:rFonts w:ascii="Times New Roman" w:eastAsia="Times New Roman" w:hAnsi="Times New Roman" w:cs="Times New Roman"/>
          <w:sz w:val="24"/>
          <w:szCs w:val="24"/>
          <w:lang w:eastAsia="cs-CZ"/>
        </w:rPr>
        <w:t>Ing. Hana Prokopová, tel.: 236 00 4176, hana.prokopova@praha.eu</w:t>
      </w:r>
    </w:p>
    <w:p w:rsidR="00C66964" w:rsidRPr="009555E2" w:rsidRDefault="009555E2" w:rsidP="009555E2">
      <w:pPr>
        <w:tabs>
          <w:tab w:val="left" w:pos="360"/>
        </w:tabs>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r>
      <w:r w:rsidR="00C66964" w:rsidRPr="009555E2">
        <w:rPr>
          <w:rFonts w:ascii="Times New Roman" w:eastAsia="Times New Roman" w:hAnsi="Times New Roman" w:cs="Times New Roman"/>
          <w:bCs/>
          <w:sz w:val="24"/>
          <w:szCs w:val="24"/>
          <w:lang w:eastAsia="cs-CZ"/>
        </w:rPr>
        <w:t xml:space="preserve">Mgr. Jindřich Exner, tel.: 236 00 4154, </w:t>
      </w:r>
      <w:hyperlink r:id="rId9" w:history="1">
        <w:r w:rsidR="00C66964" w:rsidRPr="009555E2">
          <w:rPr>
            <w:rFonts w:ascii="Times New Roman" w:eastAsia="Times New Roman" w:hAnsi="Times New Roman" w:cs="Times New Roman"/>
            <w:bCs/>
            <w:sz w:val="24"/>
            <w:szCs w:val="24"/>
            <w:lang w:eastAsia="cs-CZ"/>
          </w:rPr>
          <w:t>jindrich.exner@praha.eu</w:t>
        </w:r>
      </w:hyperlink>
    </w:p>
    <w:p w:rsidR="00C66964" w:rsidRPr="009555E2" w:rsidRDefault="00C66964" w:rsidP="009555E2">
      <w:pPr>
        <w:spacing w:before="120" w:after="0" w:line="240" w:lineRule="auto"/>
        <w:ind w:firstLine="708"/>
        <w:jc w:val="both"/>
        <w:rPr>
          <w:rFonts w:ascii="Times New Roman" w:hAnsi="Times New Roman" w:cs="Times New Roman"/>
          <w:sz w:val="24"/>
          <w:szCs w:val="24"/>
        </w:rPr>
      </w:pPr>
      <w:r w:rsidRPr="009555E2">
        <w:rPr>
          <w:rFonts w:ascii="Times New Roman" w:eastAsia="Times New Roman" w:hAnsi="Times New Roman" w:cs="Times New Roman"/>
          <w:bCs/>
          <w:sz w:val="24"/>
          <w:szCs w:val="24"/>
          <w:lang w:eastAsia="cs-CZ"/>
        </w:rPr>
        <w:t>Kontaktním místem je odbor ZSP MHMP  (adresa pracoviště: Praha 1, Charvátova 9).</w:t>
      </w:r>
    </w:p>
    <w:p w:rsidR="00C66964" w:rsidRPr="00C66964" w:rsidRDefault="009555E2" w:rsidP="00440E3F">
      <w:pPr>
        <w:numPr>
          <w:ilvl w:val="0"/>
          <w:numId w:val="6"/>
        </w:numPr>
        <w:spacing w:before="120" w:after="0" w:line="240" w:lineRule="auto"/>
        <w:ind w:left="714"/>
        <w:jc w:val="both"/>
        <w:rPr>
          <w:rFonts w:ascii="Times New Roman" w:hAnsi="Times New Roman" w:cs="Times New Roman"/>
          <w:sz w:val="24"/>
          <w:szCs w:val="24"/>
        </w:rPr>
      </w:pPr>
      <w:r w:rsidRPr="00440E3F">
        <w:rPr>
          <w:rFonts w:ascii="Times New Roman" w:hAnsi="Times New Roman" w:cs="Times New Roman"/>
          <w:sz w:val="24"/>
          <w:szCs w:val="24"/>
        </w:rPr>
        <w:t>O veškerých změnách údajů uváděných v předložené žádosti je žadatel povinen písemně informovat odbor ZSP MHMP nejpozději do 1</w:t>
      </w:r>
      <w:r>
        <w:rPr>
          <w:rFonts w:ascii="Times New Roman" w:hAnsi="Times New Roman" w:cs="Times New Roman"/>
          <w:sz w:val="24"/>
          <w:szCs w:val="24"/>
        </w:rPr>
        <w:t>0</w:t>
      </w:r>
      <w:r w:rsidRPr="00440E3F">
        <w:rPr>
          <w:rFonts w:ascii="Times New Roman" w:hAnsi="Times New Roman" w:cs="Times New Roman"/>
          <w:sz w:val="24"/>
          <w:szCs w:val="24"/>
        </w:rPr>
        <w:t xml:space="preserve"> pracovních dnů od jejich vzniku.</w:t>
      </w:r>
    </w:p>
    <w:p w:rsidR="00440E3F" w:rsidRPr="00440E3F" w:rsidRDefault="00440E3F" w:rsidP="00440E3F">
      <w:pPr>
        <w:keepNext/>
        <w:keepLines/>
        <w:spacing w:before="480"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V</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 xml:space="preserve">Posouzení žádosti o poskytnutí dotace </w:t>
      </w:r>
    </w:p>
    <w:p w:rsidR="00440E3F" w:rsidRPr="00440E3F" w:rsidRDefault="00440E3F" w:rsidP="00440E3F">
      <w:pPr>
        <w:spacing w:after="0" w:line="240" w:lineRule="auto"/>
        <w:ind w:left="714" w:hanging="357"/>
        <w:jc w:val="both"/>
      </w:pPr>
    </w:p>
    <w:p w:rsidR="00440E3F" w:rsidRPr="00440E3F" w:rsidRDefault="00440E3F" w:rsidP="00440E3F">
      <w:pPr>
        <w:numPr>
          <w:ilvl w:val="0"/>
          <w:numId w:val="7"/>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Podání žádosti nelze považovat za příslib udělení dotace. </w:t>
      </w:r>
    </w:p>
    <w:p w:rsidR="00440E3F" w:rsidRDefault="00440E3F" w:rsidP="00440E3F">
      <w:pPr>
        <w:numPr>
          <w:ilvl w:val="0"/>
          <w:numId w:val="7"/>
        </w:numPr>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Finanční prostředky jsou v rámci dotačního řízení poskytovány na základě posouzení podané žádosti.</w:t>
      </w:r>
    </w:p>
    <w:p w:rsidR="00CE335D" w:rsidRDefault="00CE335D" w:rsidP="00CE335D">
      <w:pPr>
        <w:numPr>
          <w:ilvl w:val="0"/>
          <w:numId w:val="7"/>
        </w:numPr>
        <w:spacing w:before="120" w:after="0" w:line="240" w:lineRule="auto"/>
        <w:ind w:left="71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Pr="00440E3F">
        <w:rPr>
          <w:rFonts w:ascii="Times New Roman" w:eastAsia="Times New Roman" w:hAnsi="Times New Roman" w:cs="Times New Roman"/>
          <w:sz w:val="24"/>
          <w:szCs w:val="24"/>
          <w:lang w:eastAsia="cs-CZ"/>
        </w:rPr>
        <w:t>dbor ZSP MHMP předkládá návrh na rozdělení dotace k projednání orgánům HMP</w:t>
      </w:r>
      <w:r>
        <w:rPr>
          <w:rFonts w:ascii="Times New Roman" w:eastAsia="Times New Roman" w:hAnsi="Times New Roman" w:cs="Times New Roman"/>
          <w:sz w:val="24"/>
          <w:szCs w:val="24"/>
          <w:lang w:eastAsia="cs-CZ"/>
        </w:rPr>
        <w:t>.</w:t>
      </w:r>
    </w:p>
    <w:p w:rsidR="00CE335D" w:rsidRPr="00CE335D" w:rsidRDefault="00CE335D" w:rsidP="00CE335D">
      <w:pPr>
        <w:numPr>
          <w:ilvl w:val="0"/>
          <w:numId w:val="7"/>
        </w:numPr>
        <w:spacing w:before="120" w:after="0" w:line="240" w:lineRule="auto"/>
        <w:ind w:left="714"/>
        <w:jc w:val="both"/>
        <w:rPr>
          <w:rFonts w:ascii="Times New Roman" w:eastAsia="Times New Roman" w:hAnsi="Times New Roman" w:cs="Times New Roman"/>
          <w:sz w:val="24"/>
          <w:szCs w:val="24"/>
          <w:lang w:eastAsia="cs-CZ"/>
        </w:rPr>
      </w:pPr>
      <w:r w:rsidRPr="00CE335D">
        <w:rPr>
          <w:rFonts w:ascii="Times New Roman" w:eastAsia="Times New Roman" w:hAnsi="Times New Roman" w:cs="Times New Roman"/>
          <w:sz w:val="24"/>
          <w:szCs w:val="24"/>
          <w:lang w:eastAsia="cs-CZ"/>
        </w:rPr>
        <w:t>Rada HMP, respektive Zastupitelstvo HMP schvaluje konkrétní výši poskytnuté dotace pro jednotlivé služby a v souladu s Rozhodnutím a Metodikou MZ pro poskytování dotací ze státního rozpočtu krajům a HMP.</w:t>
      </w:r>
      <w:r w:rsidR="00305A06">
        <w:rPr>
          <w:rFonts w:ascii="Times New Roman" w:eastAsia="Times New Roman" w:hAnsi="Times New Roman" w:cs="Times New Roman"/>
          <w:sz w:val="24"/>
          <w:szCs w:val="24"/>
          <w:lang w:eastAsia="cs-CZ"/>
        </w:rPr>
        <w:t xml:space="preserve"> </w:t>
      </w:r>
      <w:r w:rsidR="00305A06" w:rsidRPr="00305A06">
        <w:rPr>
          <w:rFonts w:ascii="Times New Roman" w:eastAsia="Times New Roman" w:hAnsi="Times New Roman" w:cs="Times New Roman"/>
          <w:sz w:val="24"/>
          <w:szCs w:val="24"/>
          <w:lang w:eastAsia="cs-CZ"/>
        </w:rPr>
        <w:t>Žadatelům, kterým v </w:t>
      </w:r>
      <w:r w:rsidR="00305A06">
        <w:rPr>
          <w:rFonts w:ascii="Times New Roman" w:eastAsia="Times New Roman" w:hAnsi="Times New Roman" w:cs="Times New Roman"/>
          <w:sz w:val="24"/>
          <w:szCs w:val="24"/>
          <w:lang w:eastAsia="cs-CZ"/>
        </w:rPr>
        <w:t>dotačním</w:t>
      </w:r>
      <w:r w:rsidR="00305A06" w:rsidRPr="00305A06">
        <w:rPr>
          <w:rFonts w:ascii="Times New Roman" w:eastAsia="Times New Roman" w:hAnsi="Times New Roman" w:cs="Times New Roman"/>
          <w:sz w:val="24"/>
          <w:szCs w:val="24"/>
          <w:lang w:eastAsia="cs-CZ"/>
        </w:rPr>
        <w:t xml:space="preserve"> řízení nebylo vyhověno, sdělí</w:t>
      </w:r>
      <w:r w:rsidR="00305A06">
        <w:rPr>
          <w:rFonts w:ascii="Times New Roman" w:eastAsia="Times New Roman" w:hAnsi="Times New Roman" w:cs="Times New Roman"/>
          <w:sz w:val="24"/>
          <w:szCs w:val="24"/>
          <w:lang w:eastAsia="cs-CZ"/>
        </w:rPr>
        <w:t xml:space="preserve"> písemně</w:t>
      </w:r>
      <w:r w:rsidR="00305A06" w:rsidRPr="00305A06">
        <w:rPr>
          <w:rFonts w:ascii="Times New Roman" w:eastAsia="Times New Roman" w:hAnsi="Times New Roman" w:cs="Times New Roman"/>
          <w:sz w:val="24"/>
          <w:szCs w:val="24"/>
          <w:lang w:eastAsia="cs-CZ"/>
        </w:rPr>
        <w:t xml:space="preserve"> ZSP MHMP bez zbytečného odkladu, že jejich žádosti nebylo vyhověno a důvod nevyhovění žádosti.</w:t>
      </w:r>
    </w:p>
    <w:p w:rsidR="00440E3F" w:rsidRPr="00440E3F" w:rsidRDefault="00440E3F" w:rsidP="00440E3F">
      <w:pPr>
        <w:numPr>
          <w:ilvl w:val="0"/>
          <w:numId w:val="7"/>
        </w:numPr>
        <w:tabs>
          <w:tab w:val="clear" w:pos="357"/>
        </w:tabs>
        <w:spacing w:before="120" w:after="0" w:line="240" w:lineRule="auto"/>
        <w:ind w:left="714"/>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Výsledky dotačního řízení budou po schválení příslušnými orgány zveřejněny na internetových stránkách </w:t>
      </w:r>
      <w:hyperlink r:id="rId10" w:history="1">
        <w:r w:rsidRPr="00710686">
          <w:rPr>
            <w:rFonts w:ascii="Times New Roman" w:eastAsiaTheme="majorEastAsia" w:hAnsi="Times New Roman" w:cs="Times New Roman"/>
            <w:bCs/>
            <w:sz w:val="24"/>
            <w:szCs w:val="24"/>
            <w:lang w:eastAsia="cs-CZ"/>
          </w:rPr>
          <w:t>www.praha.eu</w:t>
        </w:r>
      </w:hyperlink>
      <w:r w:rsidRPr="00710686">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Dílčí informace se v průběhu řízení nesdělují.</w:t>
      </w:r>
    </w:p>
    <w:p w:rsidR="00440E3F" w:rsidRPr="00440E3F" w:rsidRDefault="00440E3F" w:rsidP="00440E3F">
      <w:pPr>
        <w:keepNext/>
        <w:keepLines/>
        <w:spacing w:before="480" w:after="0" w:line="240" w:lineRule="auto"/>
        <w:ind w:left="709" w:hanging="352"/>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VI</w:t>
      </w:r>
    </w:p>
    <w:p w:rsid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Uzavírání smluv</w:t>
      </w:r>
    </w:p>
    <w:p w:rsidR="00710686" w:rsidRPr="00440E3F" w:rsidRDefault="00710686"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p>
    <w:p w:rsidR="00440E3F" w:rsidRPr="00440E3F" w:rsidRDefault="00440E3F" w:rsidP="00440E3F">
      <w:pPr>
        <w:numPr>
          <w:ilvl w:val="0"/>
          <w:numId w:val="8"/>
        </w:numPr>
        <w:spacing w:before="120" w:after="0" w:line="240" w:lineRule="auto"/>
        <w:ind w:left="714" w:hanging="357"/>
        <w:jc w:val="both"/>
        <w:rPr>
          <w:rFonts w:ascii="Times New Roman" w:eastAsia="Times New Roman" w:hAnsi="Times New Roman" w:cs="Times New Roman"/>
          <w:i/>
          <w:iCs/>
          <w:sz w:val="24"/>
          <w:szCs w:val="24"/>
          <w:lang w:eastAsia="cs-CZ"/>
        </w:rPr>
      </w:pPr>
      <w:r w:rsidRPr="00440E3F">
        <w:rPr>
          <w:rFonts w:ascii="Times New Roman" w:eastAsia="Times New Roman" w:hAnsi="Times New Roman" w:cs="Times New Roman"/>
          <w:sz w:val="24"/>
          <w:szCs w:val="24"/>
          <w:lang w:eastAsia="cs-CZ"/>
        </w:rPr>
        <w:t xml:space="preserve">Po schválení výše poskytnuté dotace </w:t>
      </w:r>
      <w:r w:rsidR="00496F09">
        <w:rPr>
          <w:rFonts w:ascii="Times New Roman" w:eastAsia="Times New Roman" w:hAnsi="Times New Roman" w:cs="Times New Roman"/>
          <w:sz w:val="24"/>
          <w:szCs w:val="24"/>
          <w:lang w:eastAsia="cs-CZ"/>
        </w:rPr>
        <w:t>R</w:t>
      </w:r>
      <w:r w:rsidR="004C6785">
        <w:rPr>
          <w:rFonts w:ascii="Times New Roman" w:eastAsia="Times New Roman" w:hAnsi="Times New Roman" w:cs="Times New Roman"/>
          <w:sz w:val="24"/>
          <w:szCs w:val="24"/>
          <w:lang w:eastAsia="cs-CZ"/>
        </w:rPr>
        <w:t>adou HMP</w:t>
      </w:r>
      <w:r w:rsidR="00281681">
        <w:rPr>
          <w:rFonts w:ascii="Times New Roman" w:eastAsia="Times New Roman" w:hAnsi="Times New Roman" w:cs="Times New Roman"/>
          <w:sz w:val="24"/>
          <w:szCs w:val="24"/>
          <w:lang w:eastAsia="cs-CZ"/>
        </w:rPr>
        <w:t xml:space="preserve"> nebo </w:t>
      </w:r>
      <w:r w:rsidRPr="00440E3F">
        <w:rPr>
          <w:rFonts w:ascii="Times New Roman" w:eastAsia="Times New Roman" w:hAnsi="Times New Roman" w:cs="Times New Roman"/>
          <w:sz w:val="24"/>
          <w:szCs w:val="24"/>
          <w:lang w:eastAsia="cs-CZ"/>
        </w:rPr>
        <w:t xml:space="preserve">Zastupitelstvem HMP připraví ZSP MHMP smlouvu, kterou předloží k podpisu poskytovateli </w:t>
      </w:r>
      <w:r w:rsidR="00281681">
        <w:rPr>
          <w:rFonts w:ascii="Times New Roman" w:eastAsia="Times New Roman" w:hAnsi="Times New Roman" w:cs="Times New Roman"/>
          <w:sz w:val="24"/>
          <w:szCs w:val="24"/>
          <w:lang w:eastAsia="cs-CZ"/>
        </w:rPr>
        <w:t>zdravotních</w:t>
      </w:r>
      <w:r w:rsidRPr="00440E3F">
        <w:rPr>
          <w:rFonts w:ascii="Times New Roman" w:eastAsia="Times New Roman" w:hAnsi="Times New Roman" w:cs="Times New Roman"/>
          <w:sz w:val="24"/>
          <w:szCs w:val="24"/>
          <w:lang w:eastAsia="cs-CZ"/>
        </w:rPr>
        <w:t xml:space="preserve"> služeb, </w:t>
      </w:r>
      <w:r w:rsidRPr="00440E3F">
        <w:rPr>
          <w:rFonts w:ascii="Times New Roman" w:eastAsia="Times New Roman" w:hAnsi="Times New Roman" w:cs="Times New Roman"/>
          <w:sz w:val="24"/>
          <w:szCs w:val="24"/>
          <w:lang w:eastAsia="cs-CZ"/>
        </w:rPr>
        <w:lastRenderedPageBreak/>
        <w:t>kterému byla dotace přidělena.  Následně za HMP smlouvu podepíše ředitel ZSP  MHMP.</w:t>
      </w:r>
    </w:p>
    <w:p w:rsidR="00440E3F" w:rsidRPr="00440E3F" w:rsidRDefault="00440E3F" w:rsidP="00440E3F">
      <w:pPr>
        <w:numPr>
          <w:ilvl w:val="0"/>
          <w:numId w:val="8"/>
        </w:numPr>
        <w:spacing w:before="120" w:after="0" w:line="240" w:lineRule="auto"/>
        <w:ind w:left="714" w:hanging="357"/>
        <w:jc w:val="both"/>
        <w:rPr>
          <w:rFonts w:ascii="Times New Roman" w:eastAsia="Times New Roman" w:hAnsi="Times New Roman" w:cs="Times New Roman"/>
          <w:i/>
          <w:iCs/>
          <w:sz w:val="24"/>
          <w:szCs w:val="24"/>
          <w:lang w:eastAsia="cs-CZ"/>
        </w:rPr>
      </w:pPr>
      <w:r w:rsidRPr="00440E3F">
        <w:rPr>
          <w:rFonts w:ascii="Times New Roman" w:eastAsia="Times New Roman" w:hAnsi="Times New Roman" w:cs="Times New Roman"/>
          <w:sz w:val="24"/>
          <w:szCs w:val="24"/>
          <w:lang w:eastAsia="cs-CZ"/>
        </w:rPr>
        <w:t>Smlouva se neuzavírá v případě, že příjemcem dotace je příspěvková organizace HMP. Dotace je v tomto případě poskytnuta formou rozpočtového opatření.</w:t>
      </w:r>
    </w:p>
    <w:p w:rsidR="00440E3F" w:rsidRPr="00440E3F" w:rsidRDefault="00440E3F" w:rsidP="00440E3F">
      <w:pPr>
        <w:numPr>
          <w:ilvl w:val="0"/>
          <w:numId w:val="8"/>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Poskytnutá dotace je účelová a lze jí použít pouze za stanovených podmínek.  </w:t>
      </w:r>
    </w:p>
    <w:p w:rsidR="00B775AE" w:rsidRPr="00823B23" w:rsidRDefault="00440E3F" w:rsidP="00440E3F">
      <w:pPr>
        <w:numPr>
          <w:ilvl w:val="0"/>
          <w:numId w:val="8"/>
        </w:numPr>
        <w:spacing w:before="120" w:after="0" w:line="240" w:lineRule="auto"/>
        <w:ind w:left="714" w:hanging="357"/>
        <w:jc w:val="both"/>
        <w:rPr>
          <w:rFonts w:ascii="Times New Roman" w:eastAsia="Times New Roman" w:hAnsi="Times New Roman" w:cs="Times New Roman"/>
          <w:i/>
          <w:iCs/>
          <w:sz w:val="24"/>
          <w:szCs w:val="24"/>
          <w:lang w:eastAsia="cs-CZ"/>
        </w:rPr>
      </w:pPr>
      <w:r w:rsidRPr="00B775AE">
        <w:rPr>
          <w:rFonts w:ascii="Times New Roman" w:eastAsia="Times New Roman" w:hAnsi="Times New Roman" w:cs="Times New Roman"/>
          <w:sz w:val="24"/>
          <w:szCs w:val="24"/>
          <w:lang w:eastAsia="cs-CZ"/>
        </w:rPr>
        <w:t xml:space="preserve">Přidělená dotace se poskytuje převodem z účtu poskytovatele na bankovní účet příjemce. </w:t>
      </w:r>
    </w:p>
    <w:p w:rsidR="00823B23" w:rsidRPr="00B775AE" w:rsidRDefault="00823B23" w:rsidP="00823B23">
      <w:pPr>
        <w:spacing w:before="120" w:after="0" w:line="240" w:lineRule="auto"/>
        <w:jc w:val="both"/>
        <w:rPr>
          <w:rFonts w:ascii="Times New Roman" w:eastAsia="Times New Roman" w:hAnsi="Times New Roman" w:cs="Times New Roman"/>
          <w:i/>
          <w:iCs/>
          <w:sz w:val="24"/>
          <w:szCs w:val="24"/>
          <w:lang w:eastAsia="cs-CZ"/>
        </w:rPr>
      </w:pP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Část VII</w:t>
      </w:r>
    </w:p>
    <w:p w:rsidR="00440E3F" w:rsidRPr="00440E3F" w:rsidRDefault="00440E3F" w:rsidP="00440E3F">
      <w:pPr>
        <w:keepNext/>
        <w:keepLines/>
        <w:spacing w:after="0" w:line="240" w:lineRule="auto"/>
        <w:ind w:left="714" w:hanging="357"/>
        <w:jc w:val="center"/>
        <w:outlineLvl w:val="0"/>
        <w:rPr>
          <w:rFonts w:ascii="Times New Roman" w:eastAsiaTheme="majorEastAsia" w:hAnsi="Times New Roman" w:cs="Times New Roman"/>
          <w:b/>
          <w:bCs/>
          <w:color w:val="365F91" w:themeColor="accent1" w:themeShade="BF"/>
          <w:sz w:val="24"/>
          <w:szCs w:val="24"/>
        </w:rPr>
      </w:pPr>
      <w:r w:rsidRPr="00440E3F">
        <w:rPr>
          <w:rFonts w:ascii="Times New Roman" w:eastAsiaTheme="majorEastAsia" w:hAnsi="Times New Roman" w:cs="Times New Roman"/>
          <w:b/>
          <w:bCs/>
          <w:color w:val="365F91" w:themeColor="accent1" w:themeShade="BF"/>
          <w:sz w:val="24"/>
          <w:szCs w:val="24"/>
        </w:rPr>
        <w:t>Sledování, kontrola a finanční vypořádání dotace</w:t>
      </w:r>
    </w:p>
    <w:p w:rsidR="00440E3F" w:rsidRPr="00440E3F" w:rsidRDefault="00440E3F" w:rsidP="00440E3F">
      <w:pPr>
        <w:spacing w:after="0" w:line="240" w:lineRule="auto"/>
        <w:ind w:left="714" w:hanging="357"/>
        <w:jc w:val="both"/>
      </w:pPr>
    </w:p>
    <w:p w:rsidR="00440E3F" w:rsidRPr="00440E3F" w:rsidRDefault="00440E3F" w:rsidP="00440E3F">
      <w:pPr>
        <w:numPr>
          <w:ilvl w:val="0"/>
          <w:numId w:val="9"/>
        </w:numPr>
        <w:tabs>
          <w:tab w:val="num" w:pos="644"/>
        </w:tabs>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Příjemce dotace odpovídá za hospodárné použití finančních prostředků v souladu s účely, pro které byly poskytnuty. </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Příjemce dotace je povinen vést čerpání přidělených finančních prostředků v účetnictví nebo daňové evidenci odděleně, tzn. účtovat odděleně na samostatných analytických účtech nákladů</w:t>
      </w:r>
      <w:r w:rsidR="00823B23">
        <w:rPr>
          <w:rFonts w:ascii="Times New Roman" w:eastAsia="Times New Roman" w:hAnsi="Times New Roman" w:cs="Times New Roman"/>
          <w:sz w:val="24"/>
          <w:szCs w:val="24"/>
          <w:lang w:eastAsia="cs-CZ"/>
        </w:rPr>
        <w:t xml:space="preserve">. </w:t>
      </w:r>
      <w:r w:rsidRPr="00440E3F">
        <w:rPr>
          <w:rFonts w:ascii="Times New Roman" w:eastAsia="Times New Roman" w:hAnsi="Times New Roman" w:cs="Times New Roman"/>
          <w:sz w:val="24"/>
          <w:szCs w:val="24"/>
          <w:lang w:eastAsia="cs-CZ"/>
        </w:rPr>
        <w:t>Příjemce je povinen vést účetnictví popř. daňovou evidenci řádně v souladu s platnými právními předpisy.</w:t>
      </w:r>
    </w:p>
    <w:p w:rsidR="00823B23" w:rsidRDefault="00440E3F" w:rsidP="00EE0B53">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823B23">
        <w:rPr>
          <w:rFonts w:ascii="Times New Roman" w:eastAsia="Times New Roman" w:hAnsi="Times New Roman" w:cs="Times New Roman"/>
          <w:sz w:val="24"/>
          <w:szCs w:val="24"/>
          <w:lang w:eastAsia="cs-CZ"/>
        </w:rPr>
        <w:t>Příjemce dotace je povinen jednotlivé prvotní originály účetních dokladů označovat tak, aby bylo zřejmé, že se jedná o náklad (výdaj) hrazený z poskytnuté dotace</w:t>
      </w:r>
      <w:r w:rsidR="00823B23" w:rsidRPr="00823B23">
        <w:rPr>
          <w:rFonts w:ascii="Times New Roman" w:eastAsia="Times New Roman" w:hAnsi="Times New Roman" w:cs="Times New Roman"/>
          <w:sz w:val="24"/>
          <w:szCs w:val="24"/>
          <w:lang w:eastAsia="cs-CZ"/>
        </w:rPr>
        <w:t>.</w:t>
      </w:r>
    </w:p>
    <w:p w:rsidR="00440E3F" w:rsidRPr="00823B23" w:rsidRDefault="00440E3F" w:rsidP="00EE0B53">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823B23">
        <w:rPr>
          <w:rFonts w:ascii="Times New Roman" w:eastAsia="Times New Roman" w:hAnsi="Times New Roman" w:cs="Times New Roman"/>
          <w:sz w:val="24"/>
          <w:szCs w:val="24"/>
          <w:lang w:eastAsia="cs-CZ"/>
        </w:rPr>
        <w:t xml:space="preserve">Použití dotace podléhá veřejnosprávní kontrole (dále jen </w:t>
      </w:r>
      <w:r w:rsidRPr="00823B23">
        <w:rPr>
          <w:rFonts w:ascii="Times New Roman" w:eastAsia="Times New Roman" w:hAnsi="Times New Roman" w:cs="Times New Roman"/>
          <w:i/>
          <w:sz w:val="24"/>
          <w:szCs w:val="24"/>
          <w:lang w:eastAsia="cs-CZ"/>
        </w:rPr>
        <w:t>„kontrole“</w:t>
      </w:r>
      <w:r w:rsidRPr="00823B23">
        <w:rPr>
          <w:rFonts w:ascii="Times New Roman" w:eastAsia="Times New Roman" w:hAnsi="Times New Roman" w:cs="Times New Roman"/>
          <w:sz w:val="24"/>
          <w:szCs w:val="24"/>
          <w:lang w:eastAsia="cs-CZ"/>
        </w:rPr>
        <w:t>) podle zákona č. 320/2001 Sb., o finanční kontrole ve veřejné správě a o změně některých zákonů (zákon o finanční kontrole). Příjemce dotace je povinen umožnit poskytovateli dotace průběžnou a následnou kontrolu, poskytnout k tomuto účelu veškerou potřebnou dokumentaci, včetně finančních a statistických výkazů, hlášení a zpráv, a umožnit kontrolu originálních účetních písemností, vztahujících se k účtování dotace.</w:t>
      </w:r>
    </w:p>
    <w:p w:rsidR="00823B23" w:rsidRDefault="00440E3F" w:rsidP="004A4436">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823B23">
        <w:rPr>
          <w:rFonts w:ascii="Times New Roman" w:eastAsia="Times New Roman" w:hAnsi="Times New Roman" w:cs="Times New Roman"/>
          <w:sz w:val="24"/>
          <w:szCs w:val="24"/>
          <w:lang w:eastAsia="cs-CZ"/>
        </w:rPr>
        <w:t>Příjemce dotace je povinen na žádost poskytovatele dotace bezodkladně písemně poskytnout požadované upřesňující informace</w:t>
      </w:r>
      <w:r w:rsidR="00823B23" w:rsidRPr="00823B23">
        <w:rPr>
          <w:rFonts w:ascii="Times New Roman" w:eastAsia="Times New Roman" w:hAnsi="Times New Roman" w:cs="Times New Roman"/>
          <w:sz w:val="24"/>
          <w:szCs w:val="24"/>
          <w:lang w:eastAsia="cs-CZ"/>
        </w:rPr>
        <w:t xml:space="preserve">. </w:t>
      </w:r>
      <w:r w:rsidRPr="00823B23">
        <w:rPr>
          <w:rFonts w:ascii="Times New Roman" w:eastAsia="Times New Roman" w:hAnsi="Times New Roman" w:cs="Times New Roman"/>
          <w:sz w:val="24"/>
          <w:szCs w:val="24"/>
          <w:lang w:eastAsia="cs-CZ"/>
        </w:rPr>
        <w:t xml:space="preserve"> </w:t>
      </w:r>
    </w:p>
    <w:p w:rsidR="00440E3F" w:rsidRPr="00823B23" w:rsidRDefault="00440E3F" w:rsidP="004A4436">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823B23">
        <w:rPr>
          <w:rFonts w:ascii="Times New Roman" w:eastAsia="Times New Roman" w:hAnsi="Times New Roman" w:cs="Times New Roman"/>
          <w:sz w:val="24"/>
          <w:szCs w:val="24"/>
          <w:lang w:eastAsia="cs-CZ"/>
        </w:rPr>
        <w:t>Příjemce dotace se zavazuje vrátit poskytovateli dotace bez zbytečného odkladu dotaci/alikvotní část v případě použití dotace v rozporu s</w:t>
      </w:r>
      <w:r w:rsidR="00382DD4">
        <w:rPr>
          <w:rFonts w:ascii="Times New Roman" w:eastAsia="Times New Roman" w:hAnsi="Times New Roman" w:cs="Times New Roman"/>
          <w:sz w:val="24"/>
          <w:szCs w:val="24"/>
          <w:lang w:eastAsia="cs-CZ"/>
        </w:rPr>
        <w:t> účelem, na který byla dotace poskytnuta,</w:t>
      </w:r>
      <w:r w:rsidRPr="00823B23">
        <w:rPr>
          <w:rFonts w:ascii="Times New Roman" w:eastAsia="Times New Roman" w:hAnsi="Times New Roman" w:cs="Times New Roman"/>
          <w:sz w:val="24"/>
          <w:szCs w:val="24"/>
          <w:lang w:eastAsia="cs-CZ"/>
        </w:rPr>
        <w:t xml:space="preserve"> </w:t>
      </w:r>
      <w:r w:rsidR="00382DD4">
        <w:rPr>
          <w:rFonts w:ascii="Times New Roman" w:eastAsia="Times New Roman" w:hAnsi="Times New Roman" w:cs="Times New Roman"/>
          <w:sz w:val="24"/>
          <w:szCs w:val="24"/>
          <w:lang w:eastAsia="cs-CZ"/>
        </w:rPr>
        <w:t>nebo nebyl naplněn v plném rozsahu objem uvedený v žádosti</w:t>
      </w:r>
      <w:r w:rsidRPr="00823B23">
        <w:rPr>
          <w:rFonts w:ascii="Times New Roman" w:eastAsia="Times New Roman" w:hAnsi="Times New Roman" w:cs="Times New Roman"/>
          <w:sz w:val="24"/>
          <w:szCs w:val="24"/>
          <w:lang w:eastAsia="cs-CZ"/>
        </w:rPr>
        <w:t>.</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bCs/>
          <w:sz w:val="24"/>
          <w:szCs w:val="24"/>
          <w:lang w:eastAsia="cs-CZ"/>
        </w:rPr>
        <w:t>Příjemce dotace je povinen přidělenou dotaci řádně vyúčtovat k </w:t>
      </w:r>
      <w:r w:rsidRPr="00FA5FEF">
        <w:rPr>
          <w:rFonts w:ascii="Times New Roman" w:eastAsia="Times New Roman" w:hAnsi="Times New Roman" w:cs="Times New Roman"/>
          <w:bCs/>
          <w:sz w:val="24"/>
          <w:szCs w:val="24"/>
          <w:lang w:eastAsia="cs-CZ"/>
        </w:rPr>
        <w:t>31. </w:t>
      </w:r>
      <w:r w:rsidR="00382DD4">
        <w:rPr>
          <w:rFonts w:ascii="Times New Roman" w:eastAsia="Times New Roman" w:hAnsi="Times New Roman" w:cs="Times New Roman"/>
          <w:bCs/>
          <w:sz w:val="24"/>
          <w:szCs w:val="24"/>
          <w:lang w:eastAsia="cs-CZ"/>
        </w:rPr>
        <w:t>12</w:t>
      </w:r>
      <w:r w:rsidRPr="00FA5FEF">
        <w:rPr>
          <w:rFonts w:ascii="Times New Roman" w:eastAsia="Times New Roman" w:hAnsi="Times New Roman" w:cs="Times New Roman"/>
          <w:bCs/>
          <w:sz w:val="24"/>
          <w:szCs w:val="24"/>
          <w:lang w:eastAsia="cs-CZ"/>
        </w:rPr>
        <w:t>. 201</w:t>
      </w:r>
      <w:r w:rsidR="008169AB" w:rsidRPr="00FA5FEF">
        <w:rPr>
          <w:rFonts w:ascii="Times New Roman" w:eastAsia="Times New Roman" w:hAnsi="Times New Roman" w:cs="Times New Roman"/>
          <w:bCs/>
          <w:sz w:val="24"/>
          <w:szCs w:val="24"/>
          <w:lang w:eastAsia="cs-CZ"/>
        </w:rPr>
        <w:t>7</w:t>
      </w:r>
      <w:r w:rsidRPr="00FA5FEF">
        <w:rPr>
          <w:rFonts w:ascii="Times New Roman" w:eastAsia="Times New Roman" w:hAnsi="Times New Roman" w:cs="Times New Roman"/>
          <w:bCs/>
          <w:sz w:val="24"/>
          <w:szCs w:val="24"/>
          <w:lang w:eastAsia="cs-CZ"/>
        </w:rPr>
        <w:t>,</w:t>
      </w:r>
      <w:r w:rsidRPr="00440E3F">
        <w:rPr>
          <w:rFonts w:ascii="Times New Roman" w:eastAsia="Times New Roman" w:hAnsi="Times New Roman" w:cs="Times New Roman"/>
          <w:bCs/>
          <w:sz w:val="24"/>
          <w:szCs w:val="24"/>
          <w:lang w:eastAsia="cs-CZ"/>
        </w:rPr>
        <w:t xml:space="preserve"> a na závazném formuláři doručit nejpozději do </w:t>
      </w:r>
      <w:r w:rsidR="0019672E">
        <w:rPr>
          <w:rFonts w:ascii="Times New Roman" w:eastAsia="Times New Roman" w:hAnsi="Times New Roman" w:cs="Times New Roman"/>
          <w:bCs/>
          <w:sz w:val="24"/>
          <w:szCs w:val="24"/>
          <w:lang w:eastAsia="cs-CZ"/>
        </w:rPr>
        <w:t xml:space="preserve"> </w:t>
      </w:r>
      <w:r w:rsidR="00E43861" w:rsidRPr="00FA5FEF">
        <w:rPr>
          <w:rFonts w:ascii="Times New Roman" w:eastAsia="Times New Roman" w:hAnsi="Times New Roman" w:cs="Times New Roman"/>
          <w:bCs/>
          <w:sz w:val="24"/>
          <w:szCs w:val="24"/>
          <w:lang w:eastAsia="cs-CZ"/>
        </w:rPr>
        <w:t>31. 1. 201</w:t>
      </w:r>
      <w:r w:rsidR="008169AB" w:rsidRPr="00FA5FEF">
        <w:rPr>
          <w:rFonts w:ascii="Times New Roman" w:eastAsia="Times New Roman" w:hAnsi="Times New Roman" w:cs="Times New Roman"/>
          <w:bCs/>
          <w:sz w:val="24"/>
          <w:szCs w:val="24"/>
          <w:lang w:eastAsia="cs-CZ"/>
        </w:rPr>
        <w:t>8</w:t>
      </w:r>
      <w:r w:rsidR="0019672E">
        <w:rPr>
          <w:rFonts w:ascii="Times New Roman" w:eastAsia="Times New Roman" w:hAnsi="Times New Roman" w:cs="Times New Roman"/>
          <w:bCs/>
          <w:sz w:val="24"/>
          <w:szCs w:val="24"/>
          <w:lang w:eastAsia="cs-CZ"/>
        </w:rPr>
        <w:t xml:space="preserve"> </w:t>
      </w:r>
      <w:r w:rsidRPr="00440E3F">
        <w:rPr>
          <w:rFonts w:ascii="Times New Roman" w:eastAsia="Times New Roman" w:hAnsi="Times New Roman" w:cs="Times New Roman"/>
          <w:bCs/>
          <w:sz w:val="24"/>
          <w:szCs w:val="24"/>
          <w:lang w:eastAsia="cs-CZ"/>
        </w:rPr>
        <w:t>prostřednictvím podatelny nebo poštou (rozhodující je datum doručení) ZSP MHMP.</w:t>
      </w:r>
      <w:r w:rsidRPr="00440E3F">
        <w:rPr>
          <w:rFonts w:ascii="Times New Roman" w:eastAsia="Times New Roman" w:hAnsi="Times New Roman" w:cs="Times New Roman"/>
          <w:b/>
          <w:bCs/>
          <w:sz w:val="24"/>
          <w:szCs w:val="24"/>
          <w:lang w:eastAsia="cs-CZ"/>
        </w:rPr>
        <w:t xml:space="preserve"> </w:t>
      </w:r>
      <w:r w:rsidRPr="00440E3F">
        <w:rPr>
          <w:rFonts w:ascii="Times New Roman" w:eastAsia="Times New Roman" w:hAnsi="Times New Roman" w:cs="Times New Roman"/>
          <w:bCs/>
          <w:sz w:val="24"/>
          <w:szCs w:val="24"/>
          <w:lang w:eastAsia="cs-CZ"/>
        </w:rPr>
        <w:t>Nevyčerpané finanční prostředky je příjemce dotac</w:t>
      </w:r>
      <w:r w:rsidR="00EA3A62">
        <w:rPr>
          <w:rFonts w:ascii="Times New Roman" w:eastAsia="Times New Roman" w:hAnsi="Times New Roman" w:cs="Times New Roman"/>
          <w:bCs/>
          <w:sz w:val="24"/>
          <w:szCs w:val="24"/>
          <w:lang w:eastAsia="cs-CZ"/>
        </w:rPr>
        <w:t>e povinen vrátit na účet HMP č. </w:t>
      </w:r>
      <w:r w:rsidRPr="00440E3F">
        <w:rPr>
          <w:rFonts w:ascii="Times New Roman" w:eastAsia="Times New Roman" w:hAnsi="Times New Roman" w:cs="Times New Roman"/>
          <w:bCs/>
          <w:sz w:val="24"/>
          <w:szCs w:val="24"/>
          <w:lang w:eastAsia="cs-CZ"/>
        </w:rPr>
        <w:t>51579</w:t>
      </w:r>
      <w:r w:rsidR="001B1051">
        <w:rPr>
          <w:rFonts w:ascii="Times New Roman" w:eastAsia="Times New Roman" w:hAnsi="Times New Roman" w:cs="Times New Roman"/>
          <w:bCs/>
          <w:sz w:val="24"/>
          <w:szCs w:val="24"/>
          <w:lang w:eastAsia="cs-CZ"/>
        </w:rPr>
        <w:t>98/6000, variabilní symbol: IČO</w:t>
      </w:r>
      <w:r w:rsidRPr="00440E3F">
        <w:rPr>
          <w:rFonts w:ascii="Times New Roman" w:eastAsia="Times New Roman" w:hAnsi="Times New Roman" w:cs="Times New Roman"/>
          <w:bCs/>
          <w:sz w:val="24"/>
          <w:szCs w:val="24"/>
          <w:lang w:eastAsia="cs-CZ"/>
        </w:rPr>
        <w:t xml:space="preserve"> příje</w:t>
      </w:r>
      <w:r w:rsidR="001B1051">
        <w:rPr>
          <w:rFonts w:ascii="Times New Roman" w:eastAsia="Times New Roman" w:hAnsi="Times New Roman" w:cs="Times New Roman"/>
          <w:bCs/>
          <w:sz w:val="24"/>
          <w:szCs w:val="24"/>
          <w:lang w:eastAsia="cs-CZ"/>
        </w:rPr>
        <w:t xml:space="preserve">mce dotace, specifický symbol: </w:t>
      </w:r>
      <w:r w:rsidR="00382DD4">
        <w:rPr>
          <w:rFonts w:ascii="Times New Roman" w:eastAsia="Times New Roman" w:hAnsi="Times New Roman" w:cs="Times New Roman"/>
          <w:bCs/>
          <w:sz w:val="24"/>
          <w:szCs w:val="24"/>
          <w:lang w:eastAsia="cs-CZ"/>
        </w:rPr>
        <w:t>0333</w:t>
      </w:r>
      <w:r w:rsidRPr="00440E3F">
        <w:rPr>
          <w:rFonts w:ascii="Times New Roman" w:eastAsia="Times New Roman" w:hAnsi="Times New Roman" w:cs="Times New Roman"/>
          <w:bCs/>
          <w:sz w:val="24"/>
          <w:szCs w:val="24"/>
          <w:lang w:eastAsia="cs-CZ"/>
        </w:rPr>
        <w:t xml:space="preserve"> nejpozději </w:t>
      </w:r>
      <w:r w:rsidRPr="00FA5FEF">
        <w:rPr>
          <w:rFonts w:ascii="Times New Roman" w:eastAsia="Times New Roman" w:hAnsi="Times New Roman" w:cs="Times New Roman"/>
          <w:bCs/>
          <w:sz w:val="24"/>
          <w:szCs w:val="24"/>
          <w:lang w:eastAsia="cs-CZ"/>
        </w:rPr>
        <w:t>do</w:t>
      </w:r>
      <w:r w:rsidR="00E43861" w:rsidRPr="00FA5FEF">
        <w:rPr>
          <w:rFonts w:ascii="Times New Roman" w:eastAsia="Times New Roman" w:hAnsi="Times New Roman" w:cs="Times New Roman"/>
          <w:bCs/>
          <w:sz w:val="24"/>
          <w:szCs w:val="24"/>
          <w:lang w:eastAsia="cs-CZ"/>
        </w:rPr>
        <w:t xml:space="preserve"> </w:t>
      </w:r>
      <w:r w:rsidR="00FA5FEF">
        <w:rPr>
          <w:rFonts w:ascii="Times New Roman" w:eastAsia="Times New Roman" w:hAnsi="Times New Roman" w:cs="Times New Roman"/>
          <w:bCs/>
          <w:sz w:val="24"/>
          <w:szCs w:val="24"/>
          <w:lang w:eastAsia="cs-CZ"/>
        </w:rPr>
        <w:t>31.</w:t>
      </w:r>
      <w:r w:rsidR="005D219F">
        <w:rPr>
          <w:rFonts w:ascii="Times New Roman" w:eastAsia="Times New Roman" w:hAnsi="Times New Roman" w:cs="Times New Roman"/>
          <w:bCs/>
          <w:sz w:val="24"/>
          <w:szCs w:val="24"/>
          <w:lang w:eastAsia="cs-CZ"/>
        </w:rPr>
        <w:t xml:space="preserve"> </w:t>
      </w:r>
      <w:r w:rsidR="00FA5FEF">
        <w:rPr>
          <w:rFonts w:ascii="Times New Roman" w:eastAsia="Times New Roman" w:hAnsi="Times New Roman" w:cs="Times New Roman"/>
          <w:bCs/>
          <w:sz w:val="24"/>
          <w:szCs w:val="24"/>
          <w:lang w:eastAsia="cs-CZ"/>
        </w:rPr>
        <w:t>1.</w:t>
      </w:r>
      <w:r w:rsidR="00E43861" w:rsidRPr="00FA5FEF">
        <w:rPr>
          <w:rFonts w:ascii="Times New Roman" w:eastAsia="Times New Roman" w:hAnsi="Times New Roman" w:cs="Times New Roman"/>
          <w:bCs/>
          <w:sz w:val="24"/>
          <w:szCs w:val="24"/>
          <w:lang w:eastAsia="cs-CZ"/>
        </w:rPr>
        <w:t xml:space="preserve"> </w:t>
      </w:r>
      <w:r w:rsidRPr="00FA5FEF">
        <w:rPr>
          <w:rFonts w:ascii="Times New Roman" w:eastAsia="Times New Roman" w:hAnsi="Times New Roman" w:cs="Times New Roman"/>
          <w:bCs/>
          <w:sz w:val="24"/>
          <w:szCs w:val="24"/>
          <w:lang w:eastAsia="cs-CZ"/>
        </w:rPr>
        <w:t>201</w:t>
      </w:r>
      <w:r w:rsidR="008169AB" w:rsidRPr="00FA5FEF">
        <w:rPr>
          <w:rFonts w:ascii="Times New Roman" w:eastAsia="Times New Roman" w:hAnsi="Times New Roman" w:cs="Times New Roman"/>
          <w:bCs/>
          <w:sz w:val="24"/>
          <w:szCs w:val="24"/>
          <w:lang w:eastAsia="cs-CZ"/>
        </w:rPr>
        <w:t>8</w:t>
      </w:r>
      <w:r w:rsidRPr="00FA5FEF">
        <w:rPr>
          <w:rFonts w:ascii="Times New Roman" w:eastAsia="Times New Roman" w:hAnsi="Times New Roman" w:cs="Times New Roman"/>
          <w:bCs/>
          <w:sz w:val="24"/>
          <w:szCs w:val="24"/>
          <w:lang w:eastAsia="cs-CZ"/>
        </w:rPr>
        <w:t>.</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V případě prodlení s odvodem je příjemce dotace povinen uhradit poskytovateli dotace penále dle § 22 zákona č. 250/2000 Sb., o rozpočtových pravidlech územních rozpočtů, ve znění pozdějších předpisů, a to na účet HMP č. 5157998/6000, variabilní symbol: IČO/RČ příjemce dotace, specifický symbol: 0</w:t>
      </w:r>
      <w:r w:rsidR="00382DD4">
        <w:rPr>
          <w:rFonts w:ascii="Times New Roman" w:eastAsia="Times New Roman" w:hAnsi="Times New Roman" w:cs="Times New Roman"/>
          <w:sz w:val="24"/>
          <w:szCs w:val="24"/>
          <w:lang w:eastAsia="cs-CZ"/>
        </w:rPr>
        <w:t>33335020</w:t>
      </w:r>
      <w:r w:rsidRPr="00440E3F">
        <w:rPr>
          <w:rFonts w:ascii="Times New Roman" w:eastAsia="Times New Roman" w:hAnsi="Times New Roman" w:cs="Times New Roman"/>
          <w:sz w:val="24"/>
          <w:szCs w:val="24"/>
          <w:lang w:eastAsia="cs-CZ"/>
        </w:rPr>
        <w:t>.</w:t>
      </w:r>
    </w:p>
    <w:p w:rsidR="00440E3F" w:rsidRPr="00440E3F" w:rsidRDefault="00440E3F" w:rsidP="00440E3F">
      <w:pPr>
        <w:numPr>
          <w:ilvl w:val="0"/>
          <w:numId w:val="9"/>
        </w:numPr>
        <w:spacing w:before="120" w:after="0" w:line="240" w:lineRule="auto"/>
        <w:ind w:left="714" w:hanging="357"/>
        <w:jc w:val="both"/>
        <w:rPr>
          <w:rFonts w:ascii="Times New Roman" w:eastAsia="Times New Roman" w:hAnsi="Times New Roman" w:cs="Times New Roman"/>
          <w:sz w:val="24"/>
          <w:szCs w:val="24"/>
          <w:lang w:eastAsia="cs-CZ"/>
        </w:rPr>
      </w:pPr>
      <w:r w:rsidRPr="00440E3F">
        <w:rPr>
          <w:rFonts w:ascii="Times New Roman" w:eastAsia="Times New Roman" w:hAnsi="Times New Roman" w:cs="Times New Roman"/>
          <w:sz w:val="24"/>
          <w:szCs w:val="24"/>
          <w:lang w:eastAsia="cs-CZ"/>
        </w:rPr>
        <w:t xml:space="preserve">Závazný formulář vyúčtování bude k dispozici na internetových stránkách HMP nejpozději </w:t>
      </w:r>
      <w:r w:rsidRPr="005D219F">
        <w:rPr>
          <w:rFonts w:ascii="Times New Roman" w:eastAsia="Times New Roman" w:hAnsi="Times New Roman" w:cs="Times New Roman"/>
          <w:sz w:val="24"/>
          <w:szCs w:val="24"/>
          <w:lang w:eastAsia="cs-CZ"/>
        </w:rPr>
        <w:t xml:space="preserve">do </w:t>
      </w:r>
      <w:r w:rsidR="00382DD4">
        <w:rPr>
          <w:rFonts w:ascii="Times New Roman" w:eastAsia="Times New Roman" w:hAnsi="Times New Roman" w:cs="Times New Roman"/>
          <w:sz w:val="24"/>
          <w:szCs w:val="24"/>
          <w:lang w:eastAsia="cs-CZ"/>
        </w:rPr>
        <w:t>15. 12</w:t>
      </w:r>
      <w:r w:rsidRPr="005D219F">
        <w:rPr>
          <w:rFonts w:ascii="Times New Roman" w:eastAsia="Times New Roman" w:hAnsi="Times New Roman" w:cs="Times New Roman"/>
          <w:sz w:val="24"/>
          <w:szCs w:val="24"/>
          <w:lang w:eastAsia="cs-CZ"/>
        </w:rPr>
        <w:t>. 201</w:t>
      </w:r>
      <w:r w:rsidR="008169AB" w:rsidRPr="005D219F">
        <w:rPr>
          <w:rFonts w:ascii="Times New Roman" w:eastAsia="Times New Roman" w:hAnsi="Times New Roman" w:cs="Times New Roman"/>
          <w:sz w:val="24"/>
          <w:szCs w:val="24"/>
          <w:lang w:eastAsia="cs-CZ"/>
        </w:rPr>
        <w:t>7</w:t>
      </w:r>
      <w:r w:rsidRPr="005D219F">
        <w:rPr>
          <w:rFonts w:ascii="Times New Roman" w:eastAsia="Times New Roman" w:hAnsi="Times New Roman" w:cs="Times New Roman"/>
          <w:sz w:val="24"/>
          <w:szCs w:val="24"/>
          <w:lang w:eastAsia="cs-CZ"/>
        </w:rPr>
        <w:t>.</w:t>
      </w:r>
      <w:r w:rsidRPr="00440E3F">
        <w:rPr>
          <w:rFonts w:ascii="Times New Roman" w:eastAsia="Times New Roman" w:hAnsi="Times New Roman" w:cs="Times New Roman"/>
          <w:sz w:val="24"/>
          <w:szCs w:val="24"/>
          <w:lang w:eastAsia="cs-CZ"/>
        </w:rPr>
        <w:t xml:space="preserve"> </w:t>
      </w:r>
    </w:p>
    <w:p w:rsidR="00897447" w:rsidRDefault="00897447" w:rsidP="00EC6421">
      <w:pPr>
        <w:tabs>
          <w:tab w:val="center" w:pos="4536"/>
        </w:tabs>
        <w:spacing w:after="0" w:line="240" w:lineRule="auto"/>
        <w:jc w:val="both"/>
        <w:rPr>
          <w:rFonts w:ascii="Times New Roman" w:eastAsia="Times New Roman" w:hAnsi="Times New Roman" w:cs="Times New Roman"/>
          <w:b/>
          <w:bCs/>
          <w:sz w:val="24"/>
          <w:szCs w:val="24"/>
          <w:lang w:eastAsia="cs-CZ"/>
        </w:rPr>
      </w:pPr>
    </w:p>
    <w:p w:rsidR="00EC6421" w:rsidRDefault="00382DD4" w:rsidP="00EC6421">
      <w:pPr>
        <w:tabs>
          <w:tab w:val="center" w:pos="4536"/>
        </w:tabs>
        <w:spacing w:after="0" w:line="240" w:lineRule="auto"/>
        <w:jc w:val="both"/>
        <w:rPr>
          <w:rFonts w:ascii="Arial" w:hAnsi="Arial" w:cs="Arial"/>
          <w:b/>
          <w:sz w:val="40"/>
          <w:szCs w:val="40"/>
        </w:rPr>
      </w:pPr>
      <w:r>
        <w:rPr>
          <w:rFonts w:ascii="Times New Roman" w:eastAsia="Times New Roman" w:hAnsi="Times New Roman" w:cs="Times New Roman"/>
          <w:i/>
          <w:sz w:val="24"/>
          <w:szCs w:val="24"/>
          <w:lang w:eastAsia="cs-CZ"/>
        </w:rPr>
        <w:lastRenderedPageBreak/>
        <w:t>P</w:t>
      </w:r>
      <w:r w:rsidR="00EC6421" w:rsidRPr="00440E3F">
        <w:rPr>
          <w:rFonts w:ascii="Times New Roman" w:eastAsia="Times New Roman" w:hAnsi="Times New Roman" w:cs="Times New Roman"/>
          <w:i/>
          <w:sz w:val="24"/>
          <w:szCs w:val="24"/>
          <w:lang w:eastAsia="cs-CZ"/>
        </w:rPr>
        <w:t xml:space="preserve">říloha č. </w:t>
      </w:r>
      <w:r>
        <w:rPr>
          <w:rFonts w:ascii="Times New Roman" w:eastAsia="Times New Roman" w:hAnsi="Times New Roman" w:cs="Times New Roman"/>
          <w:i/>
          <w:sz w:val="24"/>
          <w:szCs w:val="24"/>
          <w:lang w:eastAsia="cs-CZ"/>
        </w:rPr>
        <w:t>1</w:t>
      </w:r>
      <w:r w:rsidR="00EC6421" w:rsidRPr="00440E3F">
        <w:rPr>
          <w:rFonts w:ascii="Times New Roman" w:eastAsia="Times New Roman" w:hAnsi="Times New Roman" w:cs="Times New Roman"/>
          <w:i/>
          <w:sz w:val="24"/>
          <w:szCs w:val="24"/>
          <w:lang w:eastAsia="cs-CZ"/>
        </w:rPr>
        <w:t xml:space="preserve"> k Pravidlům dotačního řízení hlavního města Prahy pro rok </w:t>
      </w:r>
      <w:r w:rsidR="00EC6421" w:rsidRPr="00EE6A5A">
        <w:rPr>
          <w:rFonts w:ascii="Times New Roman" w:eastAsia="Times New Roman" w:hAnsi="Times New Roman" w:cs="Times New Roman"/>
          <w:i/>
          <w:sz w:val="24"/>
          <w:szCs w:val="24"/>
          <w:lang w:eastAsia="cs-CZ"/>
        </w:rPr>
        <w:t>201</w:t>
      </w:r>
      <w:r w:rsidR="008169AB" w:rsidRPr="00EE6A5A">
        <w:rPr>
          <w:rFonts w:ascii="Times New Roman" w:eastAsia="Times New Roman" w:hAnsi="Times New Roman" w:cs="Times New Roman"/>
          <w:i/>
          <w:sz w:val="24"/>
          <w:szCs w:val="24"/>
          <w:lang w:eastAsia="cs-CZ"/>
        </w:rPr>
        <w:t>7</w:t>
      </w:r>
      <w:r w:rsidR="00EC6421" w:rsidRPr="00EE6A5A">
        <w:rPr>
          <w:rFonts w:ascii="Times New Roman" w:eastAsia="Times New Roman" w:hAnsi="Times New Roman" w:cs="Times New Roman"/>
          <w:i/>
          <w:sz w:val="24"/>
          <w:szCs w:val="24"/>
          <w:lang w:eastAsia="cs-CZ"/>
        </w:rPr>
        <w:t xml:space="preserve"> v</w:t>
      </w:r>
      <w:r w:rsidR="00EC6421" w:rsidRPr="00440E3F">
        <w:rPr>
          <w:rFonts w:ascii="Times New Roman" w:eastAsia="Times New Roman" w:hAnsi="Times New Roman" w:cs="Times New Roman"/>
          <w:i/>
          <w:sz w:val="24"/>
          <w:szCs w:val="24"/>
          <w:lang w:eastAsia="cs-CZ"/>
        </w:rPr>
        <w:t xml:space="preserve"> působnosti odboru zdravotnictví, sociální péče a prevence Magistrátu hlavního města Prahy</w:t>
      </w:r>
    </w:p>
    <w:p w:rsidR="00EC6421" w:rsidRDefault="00EC6421" w:rsidP="00EC6421">
      <w:pPr>
        <w:tabs>
          <w:tab w:val="center" w:pos="4536"/>
        </w:tabs>
        <w:spacing w:after="0" w:line="240" w:lineRule="auto"/>
        <w:jc w:val="center"/>
        <w:rPr>
          <w:rFonts w:ascii="Arial" w:hAnsi="Arial" w:cs="Arial"/>
          <w:b/>
          <w:sz w:val="40"/>
          <w:szCs w:val="40"/>
        </w:rPr>
      </w:pPr>
    </w:p>
    <w:p w:rsidR="00EE6A5A" w:rsidRDefault="00EE6A5A" w:rsidP="00382DD4">
      <w:pPr>
        <w:tabs>
          <w:tab w:val="center" w:pos="4536"/>
        </w:tabs>
        <w:spacing w:after="0" w:line="240" w:lineRule="auto"/>
        <w:jc w:val="center"/>
        <w:rPr>
          <w:rFonts w:ascii="Arial" w:hAnsi="Arial" w:cs="Arial"/>
          <w:b/>
          <w:sz w:val="40"/>
          <w:szCs w:val="40"/>
        </w:rPr>
      </w:pPr>
      <w:r w:rsidRPr="0061788E">
        <w:rPr>
          <w:rFonts w:ascii="Arial" w:hAnsi="Arial" w:cs="Arial"/>
          <w:b/>
          <w:sz w:val="40"/>
          <w:szCs w:val="40"/>
        </w:rPr>
        <w:t xml:space="preserve">Žádost </w:t>
      </w:r>
    </w:p>
    <w:p w:rsidR="00897447" w:rsidRDefault="00897447" w:rsidP="00382DD4">
      <w:pPr>
        <w:tabs>
          <w:tab w:val="center" w:pos="4536"/>
        </w:tabs>
        <w:spacing w:after="0" w:line="240" w:lineRule="auto"/>
        <w:jc w:val="center"/>
        <w:rPr>
          <w:rFonts w:ascii="Arial" w:hAnsi="Arial" w:cs="Arial"/>
          <w:b/>
        </w:rPr>
      </w:pPr>
      <w:r w:rsidRPr="00897447">
        <w:rPr>
          <w:noProof/>
          <w:lang w:eastAsia="cs-CZ"/>
        </w:rPr>
        <w:drawing>
          <wp:inline distT="0" distB="0" distL="0" distR="0">
            <wp:extent cx="4346691" cy="71720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8630" cy="7191739"/>
                    </a:xfrm>
                    <a:prstGeom prst="rect">
                      <a:avLst/>
                    </a:prstGeom>
                    <a:noFill/>
                    <a:ln>
                      <a:noFill/>
                    </a:ln>
                  </pic:spPr>
                </pic:pic>
              </a:graphicData>
            </a:graphic>
          </wp:inline>
        </w:drawing>
      </w:r>
    </w:p>
    <w:p w:rsidR="00897447" w:rsidRDefault="00897447" w:rsidP="00382DD4">
      <w:pPr>
        <w:tabs>
          <w:tab w:val="center" w:pos="4536"/>
        </w:tabs>
        <w:spacing w:after="0" w:line="240" w:lineRule="auto"/>
        <w:jc w:val="center"/>
        <w:rPr>
          <w:rFonts w:ascii="Arial" w:hAnsi="Arial" w:cs="Arial"/>
          <w:b/>
        </w:rPr>
      </w:pPr>
    </w:p>
    <w:p w:rsidR="00897447" w:rsidRDefault="00897447" w:rsidP="00382DD4">
      <w:pPr>
        <w:tabs>
          <w:tab w:val="center" w:pos="4536"/>
        </w:tabs>
        <w:spacing w:after="0" w:line="240" w:lineRule="auto"/>
        <w:jc w:val="center"/>
        <w:rPr>
          <w:rFonts w:ascii="Arial" w:hAnsi="Arial" w:cs="Arial"/>
          <w:b/>
        </w:rPr>
      </w:pPr>
    </w:p>
    <w:p w:rsidR="00897447" w:rsidRDefault="00897447" w:rsidP="00382DD4">
      <w:pPr>
        <w:tabs>
          <w:tab w:val="center" w:pos="4536"/>
        </w:tabs>
        <w:spacing w:after="0" w:line="240" w:lineRule="auto"/>
        <w:jc w:val="center"/>
        <w:rPr>
          <w:rFonts w:ascii="Arial" w:hAnsi="Arial" w:cs="Arial"/>
          <w:b/>
        </w:rPr>
      </w:pPr>
      <w:r w:rsidRPr="00897447">
        <w:rPr>
          <w:noProof/>
          <w:lang w:eastAsia="cs-CZ"/>
        </w:rPr>
        <w:lastRenderedPageBreak/>
        <w:drawing>
          <wp:inline distT="0" distB="0" distL="0" distR="0">
            <wp:extent cx="4420235" cy="506853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5867" cy="5086461"/>
                    </a:xfrm>
                    <a:prstGeom prst="rect">
                      <a:avLst/>
                    </a:prstGeom>
                    <a:noFill/>
                    <a:ln>
                      <a:noFill/>
                    </a:ln>
                  </pic:spPr>
                </pic:pic>
              </a:graphicData>
            </a:graphic>
          </wp:inline>
        </w:drawing>
      </w:r>
    </w:p>
    <w:p w:rsidR="00897447" w:rsidRDefault="00897447" w:rsidP="00382DD4">
      <w:pPr>
        <w:tabs>
          <w:tab w:val="center" w:pos="4536"/>
        </w:tabs>
        <w:spacing w:after="0" w:line="240" w:lineRule="auto"/>
        <w:jc w:val="center"/>
        <w:rPr>
          <w:rFonts w:ascii="Arial" w:hAnsi="Arial" w:cs="Arial"/>
          <w:b/>
        </w:rPr>
      </w:pPr>
    </w:p>
    <w:p w:rsidR="00897447" w:rsidRDefault="00897447" w:rsidP="00382DD4">
      <w:pPr>
        <w:tabs>
          <w:tab w:val="center" w:pos="4536"/>
        </w:tabs>
        <w:spacing w:after="0" w:line="240" w:lineRule="auto"/>
        <w:jc w:val="center"/>
        <w:rPr>
          <w:rFonts w:ascii="Arial" w:hAnsi="Arial" w:cs="Arial"/>
          <w:b/>
        </w:rPr>
      </w:pPr>
    </w:p>
    <w:p w:rsidR="00897447" w:rsidRDefault="00897447" w:rsidP="00382DD4">
      <w:pPr>
        <w:tabs>
          <w:tab w:val="center" w:pos="4536"/>
        </w:tabs>
        <w:spacing w:after="0" w:line="240" w:lineRule="auto"/>
        <w:jc w:val="center"/>
        <w:rPr>
          <w:rFonts w:ascii="Arial" w:hAnsi="Arial" w:cs="Arial"/>
          <w:b/>
        </w:rPr>
      </w:pPr>
    </w:p>
    <w:p w:rsidR="00897447" w:rsidRDefault="00897447" w:rsidP="00382DD4">
      <w:pPr>
        <w:tabs>
          <w:tab w:val="center" w:pos="4536"/>
        </w:tabs>
        <w:spacing w:after="0" w:line="240" w:lineRule="auto"/>
        <w:jc w:val="center"/>
        <w:rPr>
          <w:rFonts w:ascii="Arial" w:hAnsi="Arial" w:cs="Arial"/>
          <w:b/>
        </w:rPr>
      </w:pPr>
      <w:r w:rsidRPr="00897447">
        <w:rPr>
          <w:noProof/>
          <w:lang w:eastAsia="cs-CZ"/>
        </w:rPr>
        <w:lastRenderedPageBreak/>
        <w:drawing>
          <wp:inline distT="0" distB="0" distL="0" distR="0">
            <wp:extent cx="6463665" cy="491787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6787" cy="4973511"/>
                    </a:xfrm>
                    <a:prstGeom prst="rect">
                      <a:avLst/>
                    </a:prstGeom>
                    <a:noFill/>
                    <a:ln>
                      <a:noFill/>
                    </a:ln>
                  </pic:spPr>
                </pic:pic>
              </a:graphicData>
            </a:graphic>
          </wp:inline>
        </w:drawing>
      </w:r>
    </w:p>
    <w:p w:rsidR="00897447" w:rsidRDefault="00897447" w:rsidP="00382DD4">
      <w:pPr>
        <w:tabs>
          <w:tab w:val="center" w:pos="4536"/>
        </w:tabs>
        <w:spacing w:after="0" w:line="240" w:lineRule="auto"/>
        <w:jc w:val="center"/>
        <w:rPr>
          <w:rFonts w:ascii="Arial" w:hAnsi="Arial" w:cs="Arial"/>
          <w:b/>
        </w:rPr>
      </w:pPr>
    </w:p>
    <w:p w:rsidR="00897447" w:rsidRDefault="00897447" w:rsidP="00382DD4">
      <w:pPr>
        <w:tabs>
          <w:tab w:val="center" w:pos="4536"/>
        </w:tabs>
        <w:spacing w:after="0" w:line="240" w:lineRule="auto"/>
        <w:jc w:val="center"/>
        <w:rPr>
          <w:rFonts w:ascii="Arial" w:hAnsi="Arial" w:cs="Arial"/>
          <w:b/>
        </w:rPr>
      </w:pPr>
      <w:r w:rsidRPr="00897447">
        <w:rPr>
          <w:noProof/>
          <w:lang w:eastAsia="cs-CZ"/>
        </w:rPr>
        <w:lastRenderedPageBreak/>
        <w:drawing>
          <wp:inline distT="0" distB="0" distL="0" distR="0">
            <wp:extent cx="5638800" cy="4800982"/>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532" cy="4833108"/>
                    </a:xfrm>
                    <a:prstGeom prst="rect">
                      <a:avLst/>
                    </a:prstGeom>
                    <a:noFill/>
                    <a:ln>
                      <a:noFill/>
                    </a:ln>
                  </pic:spPr>
                </pic:pic>
              </a:graphicData>
            </a:graphic>
          </wp:inline>
        </w:drawing>
      </w:r>
    </w:p>
    <w:p w:rsidR="00897447" w:rsidRDefault="00897447" w:rsidP="00382DD4">
      <w:pPr>
        <w:tabs>
          <w:tab w:val="center" w:pos="4536"/>
        </w:tabs>
        <w:spacing w:after="0" w:line="240" w:lineRule="auto"/>
        <w:jc w:val="center"/>
        <w:rPr>
          <w:rFonts w:ascii="Arial" w:hAnsi="Arial" w:cs="Arial"/>
          <w:b/>
        </w:rPr>
      </w:pPr>
    </w:p>
    <w:p w:rsidR="00897447" w:rsidRPr="0061788E" w:rsidRDefault="00897447" w:rsidP="00382DD4">
      <w:pPr>
        <w:tabs>
          <w:tab w:val="center" w:pos="4536"/>
        </w:tabs>
        <w:spacing w:after="0" w:line="240" w:lineRule="auto"/>
        <w:jc w:val="center"/>
        <w:rPr>
          <w:rFonts w:ascii="Arial" w:hAnsi="Arial" w:cs="Arial"/>
          <w:b/>
        </w:rPr>
      </w:pPr>
      <w:r w:rsidRPr="00897447">
        <w:rPr>
          <w:noProof/>
          <w:lang w:eastAsia="cs-CZ"/>
        </w:rPr>
        <w:lastRenderedPageBreak/>
        <w:drawing>
          <wp:inline distT="0" distB="0" distL="0" distR="0">
            <wp:extent cx="5759450" cy="8319206"/>
            <wp:effectExtent l="0" t="0" r="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319206"/>
                    </a:xfrm>
                    <a:prstGeom prst="rect">
                      <a:avLst/>
                    </a:prstGeom>
                    <a:noFill/>
                    <a:ln>
                      <a:noFill/>
                    </a:ln>
                  </pic:spPr>
                </pic:pic>
              </a:graphicData>
            </a:graphic>
          </wp:inline>
        </w:drawing>
      </w:r>
    </w:p>
    <w:sectPr w:rsidR="00897447" w:rsidRPr="0061788E" w:rsidSect="00076349">
      <w:footerReference w:type="default" r:id="rId16"/>
      <w:headerReference w:type="first" r:id="rId17"/>
      <w:pgSz w:w="11906" w:h="16838"/>
      <w:pgMar w:top="1247" w:right="1418"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8D" w:rsidRDefault="00530C8D" w:rsidP="00D06F39">
      <w:pPr>
        <w:spacing w:after="0" w:line="240" w:lineRule="auto"/>
      </w:pPr>
      <w:r>
        <w:separator/>
      </w:r>
    </w:p>
  </w:endnote>
  <w:endnote w:type="continuationSeparator" w:id="0">
    <w:p w:rsidR="00530C8D" w:rsidRDefault="00530C8D" w:rsidP="00D0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altName w:val="LuzSans-Book"/>
    <w:panose1 w:val="02040503050406030204"/>
    <w:charset w:val="EE"/>
    <w:family w:val="roman"/>
    <w:pitch w:val="variable"/>
    <w:sig w:usb0="00000001" w:usb1="400004FF" w:usb2="0000000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069469"/>
      <w:docPartObj>
        <w:docPartGallery w:val="Page Numbers (Bottom of Page)"/>
        <w:docPartUnique/>
      </w:docPartObj>
    </w:sdtPr>
    <w:sdtEndPr>
      <w:rPr>
        <w:rFonts w:ascii="Times New Roman" w:hAnsi="Times New Roman" w:cs="Times New Roman"/>
        <w:sz w:val="24"/>
        <w:szCs w:val="24"/>
      </w:rPr>
    </w:sdtEndPr>
    <w:sdtContent>
      <w:p w:rsidR="00BD17EB" w:rsidRPr="00D06F39" w:rsidRDefault="00BD17EB">
        <w:pPr>
          <w:pStyle w:val="Zpat"/>
          <w:jc w:val="right"/>
          <w:rPr>
            <w:rFonts w:ascii="Times New Roman" w:hAnsi="Times New Roman" w:cs="Times New Roman"/>
            <w:sz w:val="24"/>
            <w:szCs w:val="24"/>
          </w:rPr>
        </w:pPr>
        <w:r w:rsidRPr="00D06F39">
          <w:rPr>
            <w:rFonts w:ascii="Times New Roman" w:hAnsi="Times New Roman" w:cs="Times New Roman"/>
            <w:sz w:val="24"/>
            <w:szCs w:val="24"/>
          </w:rPr>
          <w:fldChar w:fldCharType="begin"/>
        </w:r>
        <w:r w:rsidRPr="00D06F39">
          <w:rPr>
            <w:rFonts w:ascii="Times New Roman" w:hAnsi="Times New Roman" w:cs="Times New Roman"/>
            <w:sz w:val="24"/>
            <w:szCs w:val="24"/>
          </w:rPr>
          <w:instrText>PAGE   \* MERGEFORMAT</w:instrText>
        </w:r>
        <w:r w:rsidRPr="00D06F39">
          <w:rPr>
            <w:rFonts w:ascii="Times New Roman" w:hAnsi="Times New Roman" w:cs="Times New Roman"/>
            <w:sz w:val="24"/>
            <w:szCs w:val="24"/>
          </w:rPr>
          <w:fldChar w:fldCharType="separate"/>
        </w:r>
        <w:r w:rsidR="00BF56F4">
          <w:rPr>
            <w:rFonts w:ascii="Times New Roman" w:hAnsi="Times New Roman" w:cs="Times New Roman"/>
            <w:noProof/>
            <w:sz w:val="24"/>
            <w:szCs w:val="24"/>
          </w:rPr>
          <w:t>10</w:t>
        </w:r>
        <w:r w:rsidRPr="00D06F39">
          <w:rPr>
            <w:rFonts w:ascii="Times New Roman" w:hAnsi="Times New Roman" w:cs="Times New Roman"/>
            <w:sz w:val="24"/>
            <w:szCs w:val="24"/>
          </w:rPr>
          <w:fldChar w:fldCharType="end"/>
        </w:r>
      </w:p>
    </w:sdtContent>
  </w:sdt>
  <w:p w:rsidR="00BD17EB" w:rsidRDefault="00BD17EB">
    <w:pPr>
      <w:pStyle w:val="Zpat"/>
    </w:pPr>
  </w:p>
  <w:p w:rsidR="00BD17EB" w:rsidRDefault="00BD17EB"/>
  <w:p w:rsidR="00BD17EB" w:rsidRDefault="00BD17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8D" w:rsidRDefault="00530C8D" w:rsidP="00D06F39">
      <w:pPr>
        <w:spacing w:after="0" w:line="240" w:lineRule="auto"/>
      </w:pPr>
      <w:r>
        <w:separator/>
      </w:r>
    </w:p>
  </w:footnote>
  <w:footnote w:type="continuationSeparator" w:id="0">
    <w:p w:rsidR="00530C8D" w:rsidRDefault="00530C8D" w:rsidP="00D06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EB" w:rsidRPr="00D2033F" w:rsidRDefault="00D2033F" w:rsidP="00D2033F">
    <w:pPr>
      <w:pStyle w:val="Zhlav"/>
    </w:pPr>
    <w:r>
      <w:rPr>
        <w:rFonts w:ascii="Times New Roman" w:hAnsi="Times New Roman"/>
        <w:i/>
        <w:sz w:val="24"/>
        <w:szCs w:val="24"/>
        <w:u w:val="single"/>
      </w:rPr>
      <w:t>Příl</w:t>
    </w:r>
    <w:r w:rsidR="00043E94">
      <w:rPr>
        <w:rFonts w:ascii="Times New Roman" w:hAnsi="Times New Roman"/>
        <w:i/>
        <w:sz w:val="24"/>
        <w:szCs w:val="24"/>
        <w:u w:val="single"/>
      </w:rPr>
      <w:t xml:space="preserve">oha č. 1 k usnesení Rady HMP č. 1871 </w:t>
    </w:r>
    <w:r>
      <w:rPr>
        <w:rFonts w:ascii="Times New Roman" w:hAnsi="Times New Roman"/>
        <w:i/>
        <w:sz w:val="24"/>
        <w:szCs w:val="24"/>
        <w:u w:val="single"/>
      </w:rPr>
      <w:t>ze dne 15. 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584B"/>
    <w:multiLevelType w:val="hybridMultilevel"/>
    <w:tmpl w:val="ECECCC1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6A81CCB"/>
    <w:multiLevelType w:val="multilevel"/>
    <w:tmpl w:val="A6B27D8A"/>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BB5485"/>
    <w:multiLevelType w:val="hybridMultilevel"/>
    <w:tmpl w:val="4D845538"/>
    <w:lvl w:ilvl="0" w:tplc="1EC2653C">
      <w:start w:val="5"/>
      <w:numFmt w:val="decimal"/>
      <w:lvlText w:val="%1."/>
      <w:lvlJc w:val="left"/>
      <w:pPr>
        <w:tabs>
          <w:tab w:val="num" w:pos="783"/>
        </w:tabs>
        <w:ind w:left="783" w:hanging="357"/>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E5199"/>
    <w:multiLevelType w:val="hybridMultilevel"/>
    <w:tmpl w:val="1F882054"/>
    <w:lvl w:ilvl="0" w:tplc="458A4282">
      <w:start w:val="4"/>
      <w:numFmt w:val="bullet"/>
      <w:lvlText w:val="-"/>
      <w:lvlJc w:val="left"/>
      <w:pPr>
        <w:tabs>
          <w:tab w:val="num" w:pos="454"/>
        </w:tabs>
        <w:ind w:left="454" w:hanging="454"/>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B7579F"/>
    <w:multiLevelType w:val="hybridMultilevel"/>
    <w:tmpl w:val="8516FF76"/>
    <w:lvl w:ilvl="0" w:tplc="79BC8E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16B99"/>
    <w:multiLevelType w:val="hybridMultilevel"/>
    <w:tmpl w:val="56CEA0FE"/>
    <w:lvl w:ilvl="0" w:tplc="8AE6122A">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96E407D"/>
    <w:multiLevelType w:val="multilevel"/>
    <w:tmpl w:val="62AA98D0"/>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6D3253"/>
    <w:multiLevelType w:val="hybridMultilevel"/>
    <w:tmpl w:val="4B021A74"/>
    <w:lvl w:ilvl="0" w:tplc="7F3CB6BE">
      <w:start w:val="1"/>
      <w:numFmt w:val="decimal"/>
      <w:lvlText w:val="%1."/>
      <w:lvlJc w:val="left"/>
      <w:pPr>
        <w:tabs>
          <w:tab w:val="num" w:pos="786"/>
        </w:tabs>
        <w:ind w:left="786"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5F40501"/>
    <w:multiLevelType w:val="multilevel"/>
    <w:tmpl w:val="9118D0CA"/>
    <w:lvl w:ilvl="0">
      <w:start w:val="1"/>
      <w:numFmt w:val="lowerLetter"/>
      <w:lvlText w:val="%1."/>
      <w:lvlJc w:val="left"/>
      <w:pPr>
        <w:ind w:left="717" w:hanging="360"/>
      </w:pPr>
      <w:rPr>
        <w:rFonts w:hint="default"/>
        <w:b w:val="0"/>
        <w:i w:val="0"/>
        <w:sz w:val="24"/>
        <w:szCs w:val="24"/>
      </w:rPr>
    </w:lvl>
    <w:lvl w:ilvl="1">
      <w:start w:val="1"/>
      <w:numFmt w:val="decimal"/>
      <w:lvlText w:val="%1.%2."/>
      <w:lvlJc w:val="left"/>
      <w:pPr>
        <w:ind w:left="1149" w:hanging="432"/>
      </w:pPr>
      <w:rPr>
        <w:rFonts w:hint="default"/>
        <w:b w:val="0"/>
        <w:i w:val="0"/>
        <w:sz w:val="22"/>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9" w15:restartNumberingAfterBreak="0">
    <w:nsid w:val="36F800FC"/>
    <w:multiLevelType w:val="hybridMultilevel"/>
    <w:tmpl w:val="8AC053AE"/>
    <w:lvl w:ilvl="0" w:tplc="CEE6DA22">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EB278D"/>
    <w:multiLevelType w:val="hybridMultilevel"/>
    <w:tmpl w:val="3E6E4B7C"/>
    <w:lvl w:ilvl="0" w:tplc="893E8134">
      <w:start w:val="5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F64A3B"/>
    <w:multiLevelType w:val="hybridMultilevel"/>
    <w:tmpl w:val="F740E0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420A4098"/>
    <w:multiLevelType w:val="hybridMultilevel"/>
    <w:tmpl w:val="163C7428"/>
    <w:lvl w:ilvl="0" w:tplc="8E249086">
      <w:start w:val="1"/>
      <w:numFmt w:val="decimal"/>
      <w:lvlText w:val="%1."/>
      <w:lvlJc w:val="left"/>
      <w:pPr>
        <w:tabs>
          <w:tab w:val="num" w:pos="360"/>
        </w:tabs>
        <w:ind w:left="360" w:hanging="360"/>
      </w:pPr>
      <w:rPr>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86D4773"/>
    <w:multiLevelType w:val="multilevel"/>
    <w:tmpl w:val="62AA98D0"/>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B63546"/>
    <w:multiLevelType w:val="hybridMultilevel"/>
    <w:tmpl w:val="559E10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ED3DF1"/>
    <w:multiLevelType w:val="hybridMultilevel"/>
    <w:tmpl w:val="D2189B5E"/>
    <w:lvl w:ilvl="0" w:tplc="C17EADC2">
      <w:start w:val="1"/>
      <w:numFmt w:val="decimal"/>
      <w:lvlText w:val="%1."/>
      <w:lvlJc w:val="left"/>
      <w:pPr>
        <w:tabs>
          <w:tab w:val="num" w:pos="783"/>
        </w:tabs>
        <w:ind w:left="783" w:hanging="35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64C40AD1"/>
    <w:multiLevelType w:val="multilevel"/>
    <w:tmpl w:val="6F3233AC"/>
    <w:lvl w:ilvl="0">
      <w:start w:val="1"/>
      <w:numFmt w:val="lowerLetter"/>
      <w:lvlText w:val="%1."/>
      <w:lvlJc w:val="left"/>
      <w:pPr>
        <w:ind w:left="717" w:hanging="360"/>
      </w:pPr>
      <w:rPr>
        <w:rFonts w:hint="default"/>
        <w:b w:val="0"/>
        <w:i w:val="0"/>
        <w:sz w:val="24"/>
        <w:szCs w:val="24"/>
      </w:rPr>
    </w:lvl>
    <w:lvl w:ilvl="1">
      <w:numFmt w:val="bullet"/>
      <w:lvlText w:val="-"/>
      <w:lvlJc w:val="left"/>
      <w:pPr>
        <w:ind w:left="1149" w:hanging="432"/>
      </w:pPr>
      <w:rPr>
        <w:rFonts w:ascii="Times New Roman" w:eastAsiaTheme="minorHAnsi" w:hAnsi="Times New Roman" w:cs="Times New Roman" w:hint="default"/>
        <w:b w:val="0"/>
        <w:i w:val="0"/>
        <w:sz w:val="22"/>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702D4BEA"/>
    <w:multiLevelType w:val="hybridMultilevel"/>
    <w:tmpl w:val="FAF64BDC"/>
    <w:lvl w:ilvl="0" w:tplc="4AF2B15C">
      <w:start w:val="1"/>
      <w:numFmt w:val="decimal"/>
      <w:lvlText w:val="%1."/>
      <w:lvlJc w:val="left"/>
      <w:pPr>
        <w:tabs>
          <w:tab w:val="num" w:pos="644"/>
        </w:tabs>
        <w:ind w:left="641" w:hanging="357"/>
      </w:pPr>
      <w:rPr>
        <w:rFonts w:ascii="Times New Roman" w:hAnsi="Times New Roman" w:cs="Times New Roman" w:hint="default"/>
        <w:b w:val="0"/>
        <w:bCs w:val="0"/>
        <w:i w:val="0"/>
        <w:iCs w:val="0"/>
        <w:strike w:val="0"/>
        <w:color w:val="auto"/>
        <w:sz w:val="24"/>
        <w:szCs w:val="24"/>
      </w:rPr>
    </w:lvl>
    <w:lvl w:ilvl="1" w:tplc="79644C22">
      <w:start w:val="1"/>
      <w:numFmt w:val="lowerLetter"/>
      <w:lvlText w:val="%2."/>
      <w:lvlJc w:val="left"/>
      <w:pPr>
        <w:tabs>
          <w:tab w:val="num" w:pos="0"/>
        </w:tabs>
        <w:ind w:left="0" w:firstLine="0"/>
      </w:pPr>
      <w:rPr>
        <w:rFonts w:hint="default"/>
        <w:b w:val="0"/>
        <w:bCs w:val="0"/>
        <w:i w:val="0"/>
        <w:iCs w:val="0"/>
        <w:strike w:val="0"/>
        <w:color w:val="auto"/>
        <w:sz w:val="24"/>
        <w:szCs w:val="24"/>
      </w:rPr>
    </w:lvl>
    <w:lvl w:ilvl="2" w:tplc="0405001B">
      <w:start w:val="1"/>
      <w:numFmt w:val="lowerRoman"/>
      <w:lvlText w:val="%3."/>
      <w:lvlJc w:val="right"/>
      <w:pPr>
        <w:tabs>
          <w:tab w:val="num" w:pos="2160"/>
        </w:tabs>
        <w:ind w:left="2160" w:hanging="180"/>
      </w:pPr>
    </w:lvl>
    <w:lvl w:ilvl="3" w:tplc="B288907E">
      <w:start w:val="1"/>
      <w:numFmt w:val="lowerLetter"/>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05F3093"/>
    <w:multiLevelType w:val="hybridMultilevel"/>
    <w:tmpl w:val="9B6AC9E0"/>
    <w:lvl w:ilvl="0" w:tplc="0A1C3138">
      <w:start w:val="1"/>
      <w:numFmt w:val="decimal"/>
      <w:lvlText w:val="%1."/>
      <w:lvlJc w:val="left"/>
      <w:pPr>
        <w:tabs>
          <w:tab w:val="num" w:pos="357"/>
        </w:tabs>
        <w:ind w:left="357" w:hanging="357"/>
      </w:pPr>
      <w:rPr>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1F5127A"/>
    <w:multiLevelType w:val="multilevel"/>
    <w:tmpl w:val="62AA98D0"/>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61132B9"/>
    <w:multiLevelType w:val="hybridMultilevel"/>
    <w:tmpl w:val="4FEC98DE"/>
    <w:lvl w:ilvl="0" w:tplc="458A4282">
      <w:start w:val="4"/>
      <w:numFmt w:val="bullet"/>
      <w:lvlText w:val="-"/>
      <w:lvlJc w:val="left"/>
      <w:pPr>
        <w:tabs>
          <w:tab w:val="num" w:pos="454"/>
        </w:tabs>
        <w:ind w:left="454" w:hanging="454"/>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4D6806"/>
    <w:multiLevelType w:val="hybridMultilevel"/>
    <w:tmpl w:val="62B2DDD6"/>
    <w:lvl w:ilvl="0" w:tplc="92BA566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79B2778D"/>
    <w:multiLevelType w:val="hybridMultilevel"/>
    <w:tmpl w:val="27CACBAE"/>
    <w:lvl w:ilvl="0" w:tplc="FC68C8A0">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9FE6A8D"/>
    <w:multiLevelType w:val="hybridMultilevel"/>
    <w:tmpl w:val="3D3EEECA"/>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7A92078F"/>
    <w:multiLevelType w:val="hybridMultilevel"/>
    <w:tmpl w:val="728A7222"/>
    <w:lvl w:ilvl="0" w:tplc="FC68C8A0">
      <w:numFmt w:val="bullet"/>
      <w:lvlText w:val="-"/>
      <w:lvlJc w:val="left"/>
      <w:pPr>
        <w:ind w:left="1776" w:hanging="360"/>
      </w:pPr>
      <w:rPr>
        <w:rFonts w:ascii="Times New Roman" w:eastAsiaTheme="minorHAnsi" w:hAnsi="Times New Roman"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7B8978D1"/>
    <w:multiLevelType w:val="multilevel"/>
    <w:tmpl w:val="103C10E0"/>
    <w:lvl w:ilvl="0">
      <w:start w:val="1"/>
      <w:numFmt w:val="lowerLetter"/>
      <w:lvlText w:val="%1."/>
      <w:lvlJc w:val="left"/>
      <w:pPr>
        <w:ind w:left="717" w:hanging="360"/>
      </w:pPr>
      <w:rPr>
        <w:rFonts w:hint="default"/>
        <w:b w:val="0"/>
        <w:i w:val="0"/>
        <w:sz w:val="24"/>
        <w:szCs w:val="24"/>
      </w:rPr>
    </w:lvl>
    <w:lvl w:ilvl="1">
      <w:start w:val="1"/>
      <w:numFmt w:val="decimal"/>
      <w:lvlText w:val="%1.%2."/>
      <w:lvlJc w:val="left"/>
      <w:pPr>
        <w:ind w:left="1149" w:hanging="432"/>
      </w:pPr>
      <w:rPr>
        <w:b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9"/>
  </w:num>
  <w:num w:numId="2">
    <w:abstractNumId w:val="14"/>
  </w:num>
  <w:num w:numId="3">
    <w:abstractNumId w:val="17"/>
  </w:num>
  <w:num w:numId="4">
    <w:abstractNumId w:val="3"/>
  </w:num>
  <w:num w:numId="5">
    <w:abstractNumId w:val="2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
  </w:num>
  <w:num w:numId="12">
    <w:abstractNumId w:val="23"/>
  </w:num>
  <w:num w:numId="13">
    <w:abstractNumId w:val="1"/>
  </w:num>
  <w:num w:numId="14">
    <w:abstractNumId w:val="19"/>
  </w:num>
  <w:num w:numId="15">
    <w:abstractNumId w:val="4"/>
  </w:num>
  <w:num w:numId="16">
    <w:abstractNumId w:val="6"/>
  </w:num>
  <w:num w:numId="17">
    <w:abstractNumId w:val="13"/>
  </w:num>
  <w:num w:numId="18">
    <w:abstractNumId w:val="10"/>
  </w:num>
  <w:num w:numId="19">
    <w:abstractNumId w:val="25"/>
  </w:num>
  <w:num w:numId="20">
    <w:abstractNumId w:val="8"/>
  </w:num>
  <w:num w:numId="21">
    <w:abstractNumId w:val="16"/>
  </w:num>
  <w:num w:numId="22">
    <w:abstractNumId w:val="11"/>
  </w:num>
  <w:num w:numId="23">
    <w:abstractNumId w:val="21"/>
  </w:num>
  <w:num w:numId="24">
    <w:abstractNumId w:val="0"/>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3F"/>
    <w:rsid w:val="000269F3"/>
    <w:rsid w:val="00043E94"/>
    <w:rsid w:val="00055321"/>
    <w:rsid w:val="00070614"/>
    <w:rsid w:val="00076349"/>
    <w:rsid w:val="000F0F78"/>
    <w:rsid w:val="00120134"/>
    <w:rsid w:val="00120CBF"/>
    <w:rsid w:val="00140708"/>
    <w:rsid w:val="00160DAB"/>
    <w:rsid w:val="0016373C"/>
    <w:rsid w:val="001858E8"/>
    <w:rsid w:val="0019022B"/>
    <w:rsid w:val="0019672E"/>
    <w:rsid w:val="001B031A"/>
    <w:rsid w:val="001B1051"/>
    <w:rsid w:val="001E2080"/>
    <w:rsid w:val="00206B9B"/>
    <w:rsid w:val="00224B1B"/>
    <w:rsid w:val="00240351"/>
    <w:rsid w:val="002527AE"/>
    <w:rsid w:val="00254436"/>
    <w:rsid w:val="00273317"/>
    <w:rsid w:val="00281681"/>
    <w:rsid w:val="00283305"/>
    <w:rsid w:val="002A29BA"/>
    <w:rsid w:val="002B00AF"/>
    <w:rsid w:val="002B12CF"/>
    <w:rsid w:val="002F53C4"/>
    <w:rsid w:val="00305A06"/>
    <w:rsid w:val="00382DD4"/>
    <w:rsid w:val="00395B75"/>
    <w:rsid w:val="003A7FE8"/>
    <w:rsid w:val="003B1193"/>
    <w:rsid w:val="003C21EA"/>
    <w:rsid w:val="003C6960"/>
    <w:rsid w:val="003F3906"/>
    <w:rsid w:val="00403F68"/>
    <w:rsid w:val="00411317"/>
    <w:rsid w:val="004143CD"/>
    <w:rsid w:val="0043231E"/>
    <w:rsid w:val="00440E3F"/>
    <w:rsid w:val="00443C17"/>
    <w:rsid w:val="00454D35"/>
    <w:rsid w:val="00460BA7"/>
    <w:rsid w:val="00464764"/>
    <w:rsid w:val="00467E5A"/>
    <w:rsid w:val="00496F09"/>
    <w:rsid w:val="004B63D9"/>
    <w:rsid w:val="004C6785"/>
    <w:rsid w:val="004F686A"/>
    <w:rsid w:val="00530C8D"/>
    <w:rsid w:val="00545EE3"/>
    <w:rsid w:val="00566637"/>
    <w:rsid w:val="00573337"/>
    <w:rsid w:val="00582467"/>
    <w:rsid w:val="00582FB5"/>
    <w:rsid w:val="005A66E8"/>
    <w:rsid w:val="005A760D"/>
    <w:rsid w:val="005B1DC8"/>
    <w:rsid w:val="005B6470"/>
    <w:rsid w:val="005D219F"/>
    <w:rsid w:val="005F6CF1"/>
    <w:rsid w:val="00626222"/>
    <w:rsid w:val="0063010A"/>
    <w:rsid w:val="006318A7"/>
    <w:rsid w:val="006C4C55"/>
    <w:rsid w:val="006E24C7"/>
    <w:rsid w:val="006E7384"/>
    <w:rsid w:val="006F443B"/>
    <w:rsid w:val="0070504D"/>
    <w:rsid w:val="00710686"/>
    <w:rsid w:val="007157BE"/>
    <w:rsid w:val="00741057"/>
    <w:rsid w:val="007649D6"/>
    <w:rsid w:val="00793057"/>
    <w:rsid w:val="007D4554"/>
    <w:rsid w:val="007F648C"/>
    <w:rsid w:val="00802A92"/>
    <w:rsid w:val="008169AB"/>
    <w:rsid w:val="00823B23"/>
    <w:rsid w:val="00825ED1"/>
    <w:rsid w:val="00825F13"/>
    <w:rsid w:val="00827979"/>
    <w:rsid w:val="00830811"/>
    <w:rsid w:val="00832773"/>
    <w:rsid w:val="00897447"/>
    <w:rsid w:val="008B35DD"/>
    <w:rsid w:val="008B5070"/>
    <w:rsid w:val="008B5193"/>
    <w:rsid w:val="008C327C"/>
    <w:rsid w:val="008E2B10"/>
    <w:rsid w:val="00931208"/>
    <w:rsid w:val="00950A41"/>
    <w:rsid w:val="00951536"/>
    <w:rsid w:val="009531D6"/>
    <w:rsid w:val="009555E2"/>
    <w:rsid w:val="00974D16"/>
    <w:rsid w:val="009750EB"/>
    <w:rsid w:val="009C68EB"/>
    <w:rsid w:val="009E21F9"/>
    <w:rsid w:val="009E41B3"/>
    <w:rsid w:val="00A007BC"/>
    <w:rsid w:val="00A43B83"/>
    <w:rsid w:val="00A6321F"/>
    <w:rsid w:val="00A77E23"/>
    <w:rsid w:val="00A945F8"/>
    <w:rsid w:val="00AA678A"/>
    <w:rsid w:val="00AD3A0D"/>
    <w:rsid w:val="00AE0128"/>
    <w:rsid w:val="00B1201F"/>
    <w:rsid w:val="00B12034"/>
    <w:rsid w:val="00B775AE"/>
    <w:rsid w:val="00B8329F"/>
    <w:rsid w:val="00B94F5E"/>
    <w:rsid w:val="00BA4B65"/>
    <w:rsid w:val="00BB25C5"/>
    <w:rsid w:val="00BB7920"/>
    <w:rsid w:val="00BD17EB"/>
    <w:rsid w:val="00BF56F4"/>
    <w:rsid w:val="00C01680"/>
    <w:rsid w:val="00C05CAF"/>
    <w:rsid w:val="00C22A7B"/>
    <w:rsid w:val="00C30747"/>
    <w:rsid w:val="00C64547"/>
    <w:rsid w:val="00C66964"/>
    <w:rsid w:val="00CE335D"/>
    <w:rsid w:val="00D04ED1"/>
    <w:rsid w:val="00D06F39"/>
    <w:rsid w:val="00D2033F"/>
    <w:rsid w:val="00D30284"/>
    <w:rsid w:val="00D33C4E"/>
    <w:rsid w:val="00D40110"/>
    <w:rsid w:val="00D4064C"/>
    <w:rsid w:val="00D76283"/>
    <w:rsid w:val="00D824DC"/>
    <w:rsid w:val="00D84F75"/>
    <w:rsid w:val="00D97C8E"/>
    <w:rsid w:val="00DA27B8"/>
    <w:rsid w:val="00DC14A4"/>
    <w:rsid w:val="00E33A4A"/>
    <w:rsid w:val="00E43861"/>
    <w:rsid w:val="00E469C1"/>
    <w:rsid w:val="00E85587"/>
    <w:rsid w:val="00EA3A62"/>
    <w:rsid w:val="00EC6421"/>
    <w:rsid w:val="00EE01FC"/>
    <w:rsid w:val="00EE0EE7"/>
    <w:rsid w:val="00EE6A5A"/>
    <w:rsid w:val="00EF1C5D"/>
    <w:rsid w:val="00F00935"/>
    <w:rsid w:val="00F3120C"/>
    <w:rsid w:val="00F34847"/>
    <w:rsid w:val="00F37432"/>
    <w:rsid w:val="00F4111D"/>
    <w:rsid w:val="00F53686"/>
    <w:rsid w:val="00F55694"/>
    <w:rsid w:val="00F557E8"/>
    <w:rsid w:val="00F66BC3"/>
    <w:rsid w:val="00FA5FEF"/>
    <w:rsid w:val="00FB288A"/>
    <w:rsid w:val="00FC21B0"/>
    <w:rsid w:val="00FD3726"/>
    <w:rsid w:val="00FD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09C50-951D-4B13-B21D-E4E8542F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119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301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010A"/>
    <w:rPr>
      <w:rFonts w:ascii="Tahoma" w:hAnsi="Tahoma" w:cs="Tahoma"/>
      <w:sz w:val="16"/>
      <w:szCs w:val="16"/>
    </w:rPr>
  </w:style>
  <w:style w:type="paragraph" w:styleId="Zhlav">
    <w:name w:val="header"/>
    <w:basedOn w:val="Normln"/>
    <w:link w:val="ZhlavChar"/>
    <w:unhideWhenUsed/>
    <w:rsid w:val="00D06F39"/>
    <w:pPr>
      <w:tabs>
        <w:tab w:val="center" w:pos="4536"/>
        <w:tab w:val="right" w:pos="9072"/>
      </w:tabs>
      <w:spacing w:after="0" w:line="240" w:lineRule="auto"/>
    </w:pPr>
  </w:style>
  <w:style w:type="character" w:customStyle="1" w:styleId="ZhlavChar">
    <w:name w:val="Záhlaví Char"/>
    <w:basedOn w:val="Standardnpsmoodstavce"/>
    <w:link w:val="Zhlav"/>
    <w:rsid w:val="00D06F39"/>
  </w:style>
  <w:style w:type="paragraph" w:styleId="Zpat">
    <w:name w:val="footer"/>
    <w:basedOn w:val="Normln"/>
    <w:link w:val="ZpatChar"/>
    <w:uiPriority w:val="99"/>
    <w:unhideWhenUsed/>
    <w:rsid w:val="00D06F3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F39"/>
  </w:style>
  <w:style w:type="paragraph" w:styleId="Odstavecseseznamem">
    <w:name w:val="List Paragraph"/>
    <w:basedOn w:val="Normln"/>
    <w:uiPriority w:val="34"/>
    <w:qFormat/>
    <w:rsid w:val="00F557E8"/>
    <w:pPr>
      <w:ind w:left="720"/>
      <w:contextualSpacing/>
    </w:pPr>
  </w:style>
  <w:style w:type="character" w:styleId="Hypertextovodkaz">
    <w:name w:val="Hyperlink"/>
    <w:uiPriority w:val="99"/>
    <w:unhideWhenUsed/>
    <w:rsid w:val="00EC6421"/>
    <w:rPr>
      <w:color w:val="0000FF"/>
      <w:u w:val="single"/>
    </w:rPr>
  </w:style>
  <w:style w:type="table" w:styleId="Mkatabulky">
    <w:name w:val="Table Grid"/>
    <w:basedOn w:val="Normlntabulka"/>
    <w:uiPriority w:val="59"/>
    <w:rsid w:val="00EC6421"/>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EC6421"/>
    <w:rPr>
      <w:sz w:val="16"/>
      <w:szCs w:val="16"/>
    </w:rPr>
  </w:style>
  <w:style w:type="paragraph" w:styleId="Textkomente">
    <w:name w:val="annotation text"/>
    <w:basedOn w:val="Normln"/>
    <w:link w:val="TextkomenteChar"/>
    <w:uiPriority w:val="99"/>
    <w:semiHidden/>
    <w:unhideWhenUsed/>
    <w:rsid w:val="00EC6421"/>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EC6421"/>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C6421"/>
    <w:rPr>
      <w:b/>
      <w:bCs/>
    </w:rPr>
  </w:style>
  <w:style w:type="character" w:customStyle="1" w:styleId="PedmtkomenteChar">
    <w:name w:val="Předmět komentáře Char"/>
    <w:basedOn w:val="TextkomenteChar"/>
    <w:link w:val="Pedmtkomente"/>
    <w:uiPriority w:val="99"/>
    <w:semiHidden/>
    <w:rsid w:val="00EC6421"/>
    <w:rPr>
      <w:rFonts w:ascii="Calibri" w:eastAsia="Calibri" w:hAnsi="Calibri" w:cs="Times New Roman"/>
      <w:b/>
      <w:bCs/>
      <w:sz w:val="20"/>
      <w:szCs w:val="20"/>
    </w:rPr>
  </w:style>
  <w:style w:type="paragraph" w:styleId="Revize">
    <w:name w:val="Revision"/>
    <w:hidden/>
    <w:uiPriority w:val="99"/>
    <w:semiHidden/>
    <w:rsid w:val="00EC6421"/>
    <w:pPr>
      <w:spacing w:after="0" w:line="240" w:lineRule="auto"/>
    </w:pPr>
    <w:rPr>
      <w:rFonts w:ascii="Calibri" w:eastAsia="Calibri" w:hAnsi="Calibri" w:cs="Times New Roman"/>
    </w:rPr>
  </w:style>
  <w:style w:type="paragraph" w:customStyle="1" w:styleId="NormalU">
    <w:name w:val="NormalU"/>
    <w:basedOn w:val="Normln"/>
    <w:link w:val="NormalUChar"/>
    <w:qFormat/>
    <w:rsid w:val="00EC6421"/>
    <w:pPr>
      <w:tabs>
        <w:tab w:val="left" w:pos="284"/>
        <w:tab w:val="left" w:pos="567"/>
        <w:tab w:val="left" w:pos="709"/>
        <w:tab w:val="left" w:pos="993"/>
        <w:tab w:val="left" w:pos="1276"/>
        <w:tab w:val="left" w:pos="1560"/>
      </w:tabs>
      <w:spacing w:afterLines="30" w:line="240" w:lineRule="auto"/>
      <w:ind w:left="3969" w:hanging="3969"/>
      <w:jc w:val="both"/>
    </w:pPr>
    <w:rPr>
      <w:rFonts w:ascii="Arial" w:eastAsia="Times New Roman" w:hAnsi="Arial" w:cs="Times New Roman"/>
      <w:szCs w:val="24"/>
    </w:rPr>
  </w:style>
  <w:style w:type="character" w:customStyle="1" w:styleId="NormalUChar">
    <w:name w:val="NormalU Char"/>
    <w:link w:val="NormalU"/>
    <w:rsid w:val="00EC6421"/>
    <w:rPr>
      <w:rFonts w:ascii="Arial" w:eastAsia="Times New Roman" w:hAnsi="Arial" w:cs="Times New Roman"/>
      <w:szCs w:val="24"/>
    </w:rPr>
  </w:style>
  <w:style w:type="paragraph" w:customStyle="1" w:styleId="Default">
    <w:name w:val="Default"/>
    <w:rsid w:val="00741057"/>
    <w:pPr>
      <w:autoSpaceDE w:val="0"/>
      <w:autoSpaceDN w:val="0"/>
      <w:adjustRightInd w:val="0"/>
      <w:spacing w:after="0" w:line="240" w:lineRule="auto"/>
    </w:pPr>
    <w:rPr>
      <w:rFonts w:ascii="Calibri" w:hAnsi="Calibri" w:cs="Calibri"/>
      <w:color w:val="000000"/>
      <w:sz w:val="24"/>
      <w:szCs w:val="24"/>
    </w:rPr>
  </w:style>
  <w:style w:type="paragraph" w:styleId="Zkladntext">
    <w:name w:val="Body Text"/>
    <w:aliases w:val="b,Текст1,?????1,Èíslovaný seznam (i),Základní text Char1 Char Char Char,Základní text Char1 Char Char C,Základní text Char1 Char Char Char Char,Základní text Char1 Char Char Char Char Char,Základní text Char1 Char Char,Body Text Char Char"/>
    <w:basedOn w:val="Normln"/>
    <w:link w:val="ZkladntextChar"/>
    <w:rsid w:val="00283305"/>
    <w:pPr>
      <w:spacing w:before="120" w:after="0" w:line="240" w:lineRule="auto"/>
      <w:ind w:left="714" w:hanging="357"/>
      <w:jc w:val="both"/>
    </w:pPr>
    <w:rPr>
      <w:rFonts w:ascii="Times New Roman" w:eastAsia="Times New Roman" w:hAnsi="Times New Roman" w:cs="Times New Roman"/>
      <w:b/>
      <w:bCs/>
      <w:sz w:val="24"/>
      <w:szCs w:val="24"/>
      <w:lang w:eastAsia="cs-CZ"/>
    </w:rPr>
  </w:style>
  <w:style w:type="character" w:customStyle="1" w:styleId="ZkladntextChar">
    <w:name w:val="Základní text Char"/>
    <w:aliases w:val="b Char,Текст1 Char,?????1 Char,Èíslovaný seznam (i) Char,Základní text Char1 Char Char Char Char1,Základní text Char1 Char Char C Char,Základní text Char1 Char Char Char Char Char1,Základní text Char1 Char Char Char Char Char Char"/>
    <w:basedOn w:val="Standardnpsmoodstavce"/>
    <w:link w:val="Zkladntext"/>
    <w:rsid w:val="00283305"/>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01729">
      <w:bodyDiv w:val="1"/>
      <w:marLeft w:val="0"/>
      <w:marRight w:val="0"/>
      <w:marTop w:val="0"/>
      <w:marBottom w:val="0"/>
      <w:divBdr>
        <w:top w:val="none" w:sz="0" w:space="0" w:color="auto"/>
        <w:left w:val="none" w:sz="0" w:space="0" w:color="auto"/>
        <w:bottom w:val="none" w:sz="0" w:space="0" w:color="auto"/>
        <w:right w:val="none" w:sz="0" w:space="0" w:color="auto"/>
      </w:divBdr>
    </w:div>
    <w:div w:id="16618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eu/"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prah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indrich.Exner@praha.eu" TargetMode="External"/><Relationship Id="rId14"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EC30C-5AD4-4DFA-A5D0-C5AFAE6C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1893</Words>
  <Characters>11174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Prokopová Hana (MHMP, ZSP)</dc:creator>
  <cp:lastModifiedBy>Pracný Ondřej (MHMP, ZSP)</cp:lastModifiedBy>
  <cp:revision>2</cp:revision>
  <cp:lastPrinted>2016-07-13T14:07:00Z</cp:lastPrinted>
  <dcterms:created xsi:type="dcterms:W3CDTF">2017-08-16T12:15:00Z</dcterms:created>
  <dcterms:modified xsi:type="dcterms:W3CDTF">2017-08-16T12:15:00Z</dcterms:modified>
</cp:coreProperties>
</file>