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8DDA1" w14:textId="77777777" w:rsidR="009151AF" w:rsidRPr="00C662C3" w:rsidRDefault="009151AF" w:rsidP="009151AF">
      <w:pPr>
        <w:rPr>
          <w:i/>
          <w:iCs/>
          <w:sz w:val="24"/>
        </w:rPr>
      </w:pPr>
      <w:r w:rsidRPr="00C662C3">
        <w:rPr>
          <w:rFonts w:ascii="Calibri" w:hAnsi="Calibri" w:cs="Calibri"/>
          <w:color w:val="000000"/>
        </w:rPr>
        <w:t>č. j. </w:t>
      </w:r>
      <w:proofErr w:type="spellStart"/>
      <w:r w:rsidRPr="00C662C3">
        <w:rPr>
          <w:rFonts w:ascii="Calibri" w:hAnsi="Calibri" w:cs="Calibri"/>
          <w:color w:val="000000"/>
        </w:rPr>
        <w:t>Př</w:t>
      </w:r>
      <w:proofErr w:type="spellEnd"/>
      <w:r w:rsidRPr="00C662C3">
        <w:rPr>
          <w:rFonts w:ascii="Calibri" w:hAnsi="Calibri" w:cs="Calibri"/>
          <w:color w:val="000000"/>
        </w:rPr>
        <w:t>/78/2023-Lo</w:t>
      </w:r>
    </w:p>
    <w:p w14:paraId="0C1897AC" w14:textId="77777777" w:rsidR="009151AF" w:rsidRDefault="009151AF" w:rsidP="00CA31F1">
      <w:pPr>
        <w:spacing w:line="240" w:lineRule="auto"/>
        <w:jc w:val="center"/>
        <w:rPr>
          <w:b/>
        </w:rPr>
      </w:pPr>
    </w:p>
    <w:p w14:paraId="010A4F17" w14:textId="77777777" w:rsidR="009151AF" w:rsidRDefault="009151AF" w:rsidP="00CA31F1">
      <w:pPr>
        <w:spacing w:line="240" w:lineRule="auto"/>
        <w:jc w:val="center"/>
        <w:rPr>
          <w:b/>
        </w:rPr>
      </w:pPr>
    </w:p>
    <w:p w14:paraId="644CBA66" w14:textId="267F69CB" w:rsidR="007C6195" w:rsidRDefault="007C6195" w:rsidP="00CA31F1">
      <w:pPr>
        <w:spacing w:line="240" w:lineRule="auto"/>
        <w:jc w:val="center"/>
        <w:rPr>
          <w:b/>
        </w:rPr>
      </w:pPr>
      <w:r>
        <w:rPr>
          <w:b/>
        </w:rPr>
        <w:t xml:space="preserve">P ř i p o m í n k y   </w:t>
      </w:r>
    </w:p>
    <w:p w14:paraId="6E97B69D" w14:textId="77777777" w:rsidR="007C6195" w:rsidRDefault="007C6195" w:rsidP="00CA31F1">
      <w:pPr>
        <w:spacing w:line="240" w:lineRule="auto"/>
        <w:jc w:val="center"/>
        <w:rPr>
          <w:b/>
        </w:rPr>
      </w:pPr>
    </w:p>
    <w:p w14:paraId="5B867767" w14:textId="77777777" w:rsidR="00D5560A" w:rsidRPr="0037393E" w:rsidRDefault="007C6195" w:rsidP="00CA31F1">
      <w:pPr>
        <w:widowControl w:val="0"/>
        <w:spacing w:line="240" w:lineRule="auto"/>
        <w:jc w:val="center"/>
        <w:rPr>
          <w:b/>
          <w:sz w:val="24"/>
        </w:rPr>
      </w:pPr>
      <w:r>
        <w:rPr>
          <w:b/>
        </w:rPr>
        <w:t>k </w:t>
      </w:r>
      <w:r w:rsidRPr="003C5B72">
        <w:rPr>
          <w:b/>
        </w:rPr>
        <w:t>návrh</w:t>
      </w:r>
      <w:r>
        <w:rPr>
          <w:b/>
        </w:rPr>
        <w:t>u</w:t>
      </w:r>
      <w:r w:rsidRPr="003C5B72">
        <w:rPr>
          <w:b/>
        </w:rPr>
        <w:t xml:space="preserve"> </w:t>
      </w:r>
      <w:r w:rsidR="00D5560A">
        <w:rPr>
          <w:b/>
        </w:rPr>
        <w:t xml:space="preserve">zákona, </w:t>
      </w:r>
      <w:r w:rsidR="00D5560A" w:rsidRPr="0037393E">
        <w:rPr>
          <w:b/>
          <w:sz w:val="24"/>
        </w:rPr>
        <w:t>kterým se mění zákon č. 117/2001 Sb., o veřejných sbírkách a o změně některých zákonů (zákon o veřejných sbírkách), ve znění pozdějších předpisů</w:t>
      </w:r>
    </w:p>
    <w:p w14:paraId="4D45A3E3" w14:textId="509F9EDB" w:rsidR="007C6195" w:rsidRPr="00073C20" w:rsidRDefault="007C6195" w:rsidP="00CA31F1">
      <w:pPr>
        <w:spacing w:line="240" w:lineRule="auto"/>
        <w:jc w:val="center"/>
        <w:rPr>
          <w:b/>
        </w:rPr>
      </w:pPr>
    </w:p>
    <w:p w14:paraId="03AD293D" w14:textId="77777777" w:rsidR="007C6195" w:rsidRDefault="007C6195" w:rsidP="00CA31F1">
      <w:pPr>
        <w:pBdr>
          <w:bottom w:val="single" w:sz="12" w:space="1" w:color="auto"/>
        </w:pBdr>
        <w:spacing w:line="240" w:lineRule="auto"/>
        <w:jc w:val="center"/>
        <w:rPr>
          <w:sz w:val="24"/>
          <w:u w:val="single"/>
        </w:rPr>
      </w:pPr>
    </w:p>
    <w:p w14:paraId="2513C09C" w14:textId="77777777" w:rsidR="007C6195" w:rsidRDefault="007C6195" w:rsidP="00CA31F1">
      <w:pPr>
        <w:pStyle w:val="Textdopisu"/>
        <w:spacing w:before="0"/>
        <w:ind w:left="0"/>
        <w:jc w:val="center"/>
        <w:rPr>
          <w:sz w:val="24"/>
          <w:u w:val="single"/>
        </w:rPr>
      </w:pPr>
    </w:p>
    <w:p w14:paraId="01D0E409" w14:textId="70D36CAA" w:rsidR="007C6195" w:rsidRPr="00B876EC" w:rsidRDefault="005D02EC" w:rsidP="00CA31F1">
      <w:pPr>
        <w:pStyle w:val="Textdopisu"/>
        <w:spacing w:before="0"/>
        <w:ind w:left="0"/>
        <w:jc w:val="center"/>
        <w:rPr>
          <w:sz w:val="24"/>
          <w:u w:val="single"/>
        </w:rPr>
      </w:pPr>
      <w:r>
        <w:rPr>
          <w:sz w:val="24"/>
          <w:u w:val="single"/>
        </w:rPr>
        <w:t>Zásadní připomínka</w:t>
      </w:r>
      <w:r w:rsidR="007C6195">
        <w:rPr>
          <w:sz w:val="24"/>
          <w:u w:val="single"/>
        </w:rPr>
        <w:t>:</w:t>
      </w:r>
    </w:p>
    <w:p w14:paraId="45C8EC0F" w14:textId="77777777" w:rsidR="007C6195" w:rsidRDefault="007C6195" w:rsidP="00CA31F1">
      <w:pPr>
        <w:pStyle w:val="Textdopisu"/>
        <w:spacing w:before="0"/>
        <w:ind w:left="0"/>
        <w:jc w:val="center"/>
        <w:rPr>
          <w:sz w:val="24"/>
          <w:u w:val="single"/>
        </w:rPr>
      </w:pPr>
    </w:p>
    <w:p w14:paraId="52551488" w14:textId="7A144E2D" w:rsidR="005D02EC" w:rsidRDefault="005D02EC" w:rsidP="00CA31F1">
      <w:pPr>
        <w:pStyle w:val="Textdopisu"/>
        <w:spacing w:before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čl. I doplnit nový bod 12 ve znění:</w:t>
      </w:r>
    </w:p>
    <w:p w14:paraId="694E33DD" w14:textId="77777777" w:rsidR="005D02EC" w:rsidRDefault="005D02EC" w:rsidP="00CA31F1">
      <w:pPr>
        <w:pStyle w:val="Textdopisu"/>
        <w:spacing w:before="0"/>
        <w:ind w:left="0"/>
        <w:rPr>
          <w:b/>
          <w:bCs/>
          <w:sz w:val="24"/>
          <w:szCs w:val="24"/>
        </w:rPr>
      </w:pPr>
    </w:p>
    <w:p w14:paraId="654224AB" w14:textId="238692C4" w:rsidR="005D02EC" w:rsidRDefault="005D02EC" w:rsidP="00CA31F1">
      <w:pPr>
        <w:pStyle w:val="Textdopisu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>„12. V § 15 se dosavadní text označuje jako odstavec 1 a doplňuje se odstavec 2, který zní:</w:t>
      </w:r>
    </w:p>
    <w:p w14:paraId="3EE3EBB2" w14:textId="77777777" w:rsidR="005D02EC" w:rsidRDefault="005D02EC" w:rsidP="00CA31F1">
      <w:pPr>
        <w:pStyle w:val="Textdopisu"/>
        <w:spacing w:before="0"/>
        <w:ind w:left="0"/>
        <w:rPr>
          <w:sz w:val="24"/>
          <w:szCs w:val="24"/>
        </w:rPr>
      </w:pPr>
    </w:p>
    <w:p w14:paraId="4E42F505" w14:textId="5FE0ACBA" w:rsidR="005D02EC" w:rsidRDefault="005D02EC" w:rsidP="00CA31F1">
      <w:pPr>
        <w:pStyle w:val="Textdopisu"/>
        <w:spacing w:before="0"/>
        <w:ind w:left="708"/>
        <w:rPr>
          <w:sz w:val="24"/>
          <w:szCs w:val="24"/>
        </w:rPr>
      </w:pPr>
      <w:r>
        <w:rPr>
          <w:sz w:val="24"/>
          <w:szCs w:val="24"/>
        </w:rPr>
        <w:t>„</w:t>
      </w:r>
      <w:r w:rsidR="004D6540">
        <w:rPr>
          <w:sz w:val="24"/>
          <w:szCs w:val="24"/>
        </w:rPr>
        <w:t xml:space="preserve">(2) </w:t>
      </w:r>
      <w:r w:rsidR="00862062">
        <w:rPr>
          <w:sz w:val="24"/>
          <w:szCs w:val="24"/>
        </w:rPr>
        <w:t xml:space="preserve">Obec je oprávněna stanovit obecně závaznou vyhláškou, na </w:t>
      </w:r>
      <w:r w:rsidR="001E4405">
        <w:rPr>
          <w:sz w:val="24"/>
          <w:szCs w:val="24"/>
        </w:rPr>
        <w:t>kterých</w:t>
      </w:r>
      <w:r w:rsidR="00862062">
        <w:rPr>
          <w:sz w:val="24"/>
          <w:szCs w:val="24"/>
        </w:rPr>
        <w:t xml:space="preserve"> místech nelze</w:t>
      </w:r>
      <w:r w:rsidR="001E4405">
        <w:rPr>
          <w:sz w:val="24"/>
          <w:szCs w:val="24"/>
        </w:rPr>
        <w:t xml:space="preserve"> konat sbírku prováděnou prodejem předmětů, prodejem </w:t>
      </w:r>
      <w:r w:rsidR="001E4405" w:rsidRPr="001E4405">
        <w:rPr>
          <w:sz w:val="24"/>
          <w:szCs w:val="24"/>
        </w:rPr>
        <w:t>vstupenek na veřejná kulturní nebo sportovní vystoupení anebo jiné všeobecně přístupné akce</w:t>
      </w:r>
      <w:r w:rsidR="001E4405">
        <w:rPr>
          <w:sz w:val="24"/>
          <w:szCs w:val="24"/>
        </w:rPr>
        <w:t xml:space="preserve"> nebo jiným způsobem </w:t>
      </w:r>
      <w:r w:rsidR="001E4405" w:rsidRPr="001E4405">
        <w:rPr>
          <w:sz w:val="24"/>
          <w:szCs w:val="24"/>
        </w:rPr>
        <w:t>podle § 9 odstavce 2</w:t>
      </w:r>
      <w:r w:rsidR="001E4405">
        <w:rPr>
          <w:sz w:val="24"/>
          <w:szCs w:val="24"/>
        </w:rPr>
        <w:t xml:space="preserve">, pokud se jedná o prodej předmětů nebo služeb v oblasti cestovního </w:t>
      </w:r>
      <w:proofErr w:type="gramStart"/>
      <w:r w:rsidR="001E4405">
        <w:rPr>
          <w:sz w:val="24"/>
          <w:szCs w:val="24"/>
        </w:rPr>
        <w:t>ruchu.</w:t>
      </w:r>
      <w:r w:rsidR="001E4405" w:rsidRPr="001E4405">
        <w:rPr>
          <w:sz w:val="24"/>
          <w:szCs w:val="24"/>
          <w:vertAlign w:val="superscript"/>
        </w:rPr>
        <w:t>1</w:t>
      </w:r>
      <w:r w:rsidR="001E4405">
        <w:rPr>
          <w:sz w:val="24"/>
          <w:szCs w:val="24"/>
        </w:rPr>
        <w:t>“</w:t>
      </w:r>
      <w:proofErr w:type="gramEnd"/>
    </w:p>
    <w:p w14:paraId="0D4D22B0" w14:textId="77777777" w:rsidR="001E4405" w:rsidRDefault="001E4405" w:rsidP="00CA31F1">
      <w:pPr>
        <w:pStyle w:val="Textdopisu"/>
        <w:spacing w:before="0"/>
        <w:ind w:left="0"/>
        <w:rPr>
          <w:sz w:val="24"/>
          <w:szCs w:val="24"/>
        </w:rPr>
      </w:pPr>
    </w:p>
    <w:p w14:paraId="1EA49E30" w14:textId="2830041A" w:rsidR="001E4405" w:rsidRPr="001E4405" w:rsidRDefault="001E4405" w:rsidP="00CA31F1">
      <w:pPr>
        <w:pStyle w:val="Textdopisu"/>
        <w:spacing w:before="0"/>
        <w:rPr>
          <w:sz w:val="24"/>
          <w:szCs w:val="24"/>
        </w:rPr>
      </w:pPr>
      <w:r w:rsidRPr="001E4405">
        <w:rPr>
          <w:sz w:val="24"/>
          <w:szCs w:val="24"/>
        </w:rPr>
        <w:t xml:space="preserve">Poznámka pod čarou č. </w:t>
      </w:r>
      <w:r w:rsidR="004D6540">
        <w:rPr>
          <w:sz w:val="24"/>
          <w:szCs w:val="24"/>
        </w:rPr>
        <w:t>6</w:t>
      </w:r>
      <w:r w:rsidRPr="001E4405">
        <w:rPr>
          <w:sz w:val="24"/>
          <w:szCs w:val="24"/>
        </w:rPr>
        <w:t xml:space="preserve"> zní:</w:t>
      </w:r>
    </w:p>
    <w:p w14:paraId="217DD17A" w14:textId="77777777" w:rsidR="001E4405" w:rsidRDefault="001E4405" w:rsidP="00CA31F1">
      <w:pPr>
        <w:pStyle w:val="Textdopisu"/>
        <w:spacing w:before="0"/>
        <w:ind w:left="0"/>
        <w:rPr>
          <w:sz w:val="24"/>
          <w:szCs w:val="24"/>
        </w:rPr>
      </w:pPr>
    </w:p>
    <w:p w14:paraId="05D3184E" w14:textId="570353B5" w:rsidR="001E4405" w:rsidRPr="005D02EC" w:rsidRDefault="001E4405" w:rsidP="00CA31F1">
      <w:pPr>
        <w:pStyle w:val="Textdopisu"/>
        <w:spacing w:before="0"/>
        <w:ind w:left="708"/>
        <w:rPr>
          <w:sz w:val="24"/>
          <w:szCs w:val="24"/>
        </w:rPr>
      </w:pPr>
      <w:r w:rsidRPr="001E4405">
        <w:rPr>
          <w:sz w:val="24"/>
          <w:szCs w:val="24"/>
        </w:rPr>
        <w:t>„</w:t>
      </w:r>
      <w:r w:rsidR="004D6540">
        <w:rPr>
          <w:sz w:val="24"/>
          <w:szCs w:val="24"/>
        </w:rPr>
        <w:t>6</w:t>
      </w:r>
      <w:r w:rsidRPr="001E4405">
        <w:rPr>
          <w:sz w:val="24"/>
          <w:szCs w:val="24"/>
        </w:rPr>
        <w:t xml:space="preserve">) </w:t>
      </w:r>
      <w:r w:rsidR="00856224">
        <w:rPr>
          <w:sz w:val="24"/>
          <w:szCs w:val="24"/>
        </w:rPr>
        <w:t>§ 1a a § 12 z</w:t>
      </w:r>
      <w:r w:rsidRPr="001E4405">
        <w:rPr>
          <w:sz w:val="24"/>
          <w:szCs w:val="24"/>
        </w:rPr>
        <w:t>ákon</w:t>
      </w:r>
      <w:r w:rsidR="00856224">
        <w:rPr>
          <w:sz w:val="24"/>
          <w:szCs w:val="24"/>
        </w:rPr>
        <w:t>a</w:t>
      </w:r>
      <w:r w:rsidRPr="001E4405">
        <w:rPr>
          <w:sz w:val="24"/>
          <w:szCs w:val="24"/>
        </w:rPr>
        <w:t xml:space="preserve"> č. </w:t>
      </w:r>
      <w:r w:rsidR="004D6540" w:rsidRPr="004D6540">
        <w:rPr>
          <w:sz w:val="24"/>
          <w:szCs w:val="24"/>
        </w:rPr>
        <w:t xml:space="preserve">159/1999 </w:t>
      </w:r>
      <w:r w:rsidRPr="001E4405">
        <w:rPr>
          <w:sz w:val="24"/>
          <w:szCs w:val="24"/>
        </w:rPr>
        <w:t xml:space="preserve">Sb., </w:t>
      </w:r>
      <w:r w:rsidR="004D6540" w:rsidRPr="004D6540">
        <w:rPr>
          <w:sz w:val="24"/>
          <w:szCs w:val="24"/>
        </w:rPr>
        <w:t>o některých podmínkách podnikání a o výkonu některých činností v oblasti cestovního ruchu</w:t>
      </w:r>
      <w:r w:rsidRPr="001E4405">
        <w:rPr>
          <w:sz w:val="24"/>
          <w:szCs w:val="24"/>
        </w:rPr>
        <w:t>, ve znění pozdějších předpisů.“</w:t>
      </w:r>
    </w:p>
    <w:p w14:paraId="22E339F1" w14:textId="77777777" w:rsidR="005D02EC" w:rsidRDefault="005D02EC" w:rsidP="00CA31F1">
      <w:pPr>
        <w:pStyle w:val="Textdopisu"/>
        <w:spacing w:before="0"/>
        <w:ind w:left="0"/>
        <w:rPr>
          <w:sz w:val="24"/>
          <w:szCs w:val="24"/>
        </w:rPr>
      </w:pPr>
    </w:p>
    <w:p w14:paraId="2C2267EF" w14:textId="77777777" w:rsidR="009F16B6" w:rsidRDefault="009F16B6" w:rsidP="00CA31F1">
      <w:pPr>
        <w:pStyle w:val="Textdopisu"/>
        <w:spacing w:before="0"/>
        <w:ind w:left="0"/>
        <w:rPr>
          <w:sz w:val="24"/>
          <w:szCs w:val="24"/>
        </w:rPr>
      </w:pPr>
    </w:p>
    <w:p w14:paraId="6707EEF3" w14:textId="738E10AB" w:rsidR="007C6195" w:rsidRPr="005D02EC" w:rsidRDefault="005D02EC" w:rsidP="00CA31F1">
      <w:pPr>
        <w:pStyle w:val="Textdopisu"/>
        <w:spacing w:before="0"/>
        <w:ind w:left="0"/>
        <w:rPr>
          <w:sz w:val="24"/>
          <w:szCs w:val="24"/>
        </w:rPr>
      </w:pPr>
      <w:r w:rsidRPr="005D02EC">
        <w:rPr>
          <w:sz w:val="24"/>
          <w:szCs w:val="24"/>
        </w:rPr>
        <w:t>Následující body v</w:t>
      </w:r>
      <w:r>
        <w:rPr>
          <w:sz w:val="24"/>
          <w:szCs w:val="24"/>
        </w:rPr>
        <w:t> čl. I</w:t>
      </w:r>
      <w:r w:rsidRPr="005D02EC">
        <w:rPr>
          <w:sz w:val="24"/>
          <w:szCs w:val="24"/>
        </w:rPr>
        <w:t xml:space="preserve"> se přečíslují</w:t>
      </w:r>
      <w:r>
        <w:rPr>
          <w:sz w:val="24"/>
          <w:szCs w:val="24"/>
        </w:rPr>
        <w:t>.</w:t>
      </w:r>
    </w:p>
    <w:p w14:paraId="3F2A51FA" w14:textId="77777777" w:rsidR="0089692C" w:rsidRDefault="0089692C" w:rsidP="00CA31F1">
      <w:pPr>
        <w:spacing w:line="240" w:lineRule="auto"/>
      </w:pPr>
    </w:p>
    <w:p w14:paraId="78BB8AF2" w14:textId="77777777" w:rsidR="007C6195" w:rsidRDefault="007C6195" w:rsidP="00CA31F1">
      <w:pPr>
        <w:spacing w:line="240" w:lineRule="auto"/>
      </w:pPr>
    </w:p>
    <w:p w14:paraId="02054084" w14:textId="3EA0FE72" w:rsidR="007C6195" w:rsidRDefault="007C6195" w:rsidP="00CA31F1">
      <w:pPr>
        <w:spacing w:line="240" w:lineRule="auto"/>
      </w:pPr>
      <w:r>
        <w:t>Odůvodnění:</w:t>
      </w:r>
    </w:p>
    <w:p w14:paraId="152E64DE" w14:textId="77777777" w:rsidR="00CA31F1" w:rsidRDefault="00CA31F1" w:rsidP="00CA31F1">
      <w:pPr>
        <w:spacing w:line="240" w:lineRule="auto"/>
      </w:pPr>
    </w:p>
    <w:p w14:paraId="6A0C3F83" w14:textId="75F6B943" w:rsidR="00B9762F" w:rsidRDefault="00CA31F1" w:rsidP="00CA31F1">
      <w:pPr>
        <w:spacing w:line="240" w:lineRule="auto"/>
      </w:pPr>
      <w:r>
        <w:t xml:space="preserve">Na území hl. m. Prahy působí </w:t>
      </w:r>
      <w:r w:rsidR="00B9762F">
        <w:t xml:space="preserve">řada </w:t>
      </w:r>
      <w:r w:rsidR="005F6AF7">
        <w:t xml:space="preserve">poskytovatelů </w:t>
      </w:r>
      <w:r w:rsidR="00B9762F">
        <w:t>podvodných služeb v cestovním ruchu, kte</w:t>
      </w:r>
      <w:r w:rsidR="005F6AF7">
        <w:t>ří</w:t>
      </w:r>
      <w:r w:rsidR="00B9762F">
        <w:t xml:space="preserve"> se snaží maskovat svou činnost </w:t>
      </w:r>
      <w:r w:rsidR="00B9762F" w:rsidRPr="00F30235">
        <w:t>jako charit</w:t>
      </w:r>
      <w:r w:rsidR="00B9762F">
        <w:t>u a provozují své aktivity pořádáním veřejných sbírek</w:t>
      </w:r>
      <w:r w:rsidR="005F6AF7">
        <w:t>, aby se vyhnuli regulaci v oblasti živnostenského podnikání</w:t>
      </w:r>
      <w:r w:rsidR="00B9762F">
        <w:t>. Jedná se například o prodej turistických vycházek či vyjížděk nebo prodej suvenýrů. Tím však dochází ke</w:t>
      </w:r>
      <w:r w:rsidR="00B9762F" w:rsidRPr="000071DF">
        <w:t xml:space="preserve"> zneužívání tohoto institutu pro zastření </w:t>
      </w:r>
      <w:r w:rsidR="00B9762F">
        <w:t xml:space="preserve">(často </w:t>
      </w:r>
      <w:r w:rsidR="00B9762F" w:rsidRPr="000071DF">
        <w:t>neoprávněného</w:t>
      </w:r>
      <w:r w:rsidR="00B9762F">
        <w:t>)</w:t>
      </w:r>
      <w:r w:rsidR="00B9762F" w:rsidRPr="000071DF">
        <w:t xml:space="preserve"> podnikání</w:t>
      </w:r>
      <w:r w:rsidR="00B9762F">
        <w:t xml:space="preserve"> a obcházení pravidel přijatých na území hl. m. Prahy za účelem regulace nabízení, prodeje a poskytování zboží a služeb.</w:t>
      </w:r>
    </w:p>
    <w:p w14:paraId="45250AF7" w14:textId="77777777" w:rsidR="00B9762F" w:rsidRDefault="00B9762F" w:rsidP="00CA31F1">
      <w:pPr>
        <w:spacing w:line="240" w:lineRule="auto"/>
      </w:pPr>
    </w:p>
    <w:p w14:paraId="7AA49FCC" w14:textId="274BEBA5" w:rsidR="00B9762F" w:rsidRDefault="00B9762F" w:rsidP="00CA31F1">
      <w:pPr>
        <w:spacing w:line="240" w:lineRule="auto"/>
      </w:pPr>
      <w:r>
        <w:t>Praxe posledních 20 let</w:t>
      </w:r>
      <w:r w:rsidR="00805283">
        <w:t xml:space="preserve"> na území hl. m. Prahy</w:t>
      </w:r>
      <w:r>
        <w:t xml:space="preserve"> prokázala, že i přes pravidelné kontroly se tyto podvodné služby nedaří potlačovat, neboť </w:t>
      </w:r>
      <w:r w:rsidR="00805283">
        <w:t xml:space="preserve">využití </w:t>
      </w:r>
      <w:r>
        <w:t>institut</w:t>
      </w:r>
      <w:r w:rsidR="00805283">
        <w:t>u</w:t>
      </w:r>
      <w:r>
        <w:t xml:space="preserve"> veřejných sbírek</w:t>
      </w:r>
      <w:r w:rsidR="00805283">
        <w:t>, byť fakticky jde ze strany výše uvedených poskytovatelů služeb o jeho zneužívání,</w:t>
      </w:r>
      <w:r>
        <w:t xml:space="preserve"> znemožňuje </w:t>
      </w:r>
      <w:r w:rsidR="00805283">
        <w:t xml:space="preserve">efektivní </w:t>
      </w:r>
      <w:r>
        <w:t xml:space="preserve">kontrolu ze strany </w:t>
      </w:r>
      <w:r w:rsidR="00805283">
        <w:t xml:space="preserve">Magistrátu hl. m. Prahy, </w:t>
      </w:r>
      <w:r>
        <w:t>živnostenského odboru</w:t>
      </w:r>
      <w:r w:rsidR="00805283">
        <w:t>,</w:t>
      </w:r>
      <w:r>
        <w:t xml:space="preserve"> </w:t>
      </w:r>
      <w:r w:rsidR="00805283">
        <w:t>P</w:t>
      </w:r>
      <w:r>
        <w:t>olicie</w:t>
      </w:r>
      <w:r w:rsidR="00805283">
        <w:t xml:space="preserve"> ČR či Městské policie hl. m. Prahy</w:t>
      </w:r>
      <w:r>
        <w:t xml:space="preserve">. </w:t>
      </w:r>
    </w:p>
    <w:p w14:paraId="6FC0D877" w14:textId="77777777" w:rsidR="00F30235" w:rsidRDefault="00F30235" w:rsidP="00F30235">
      <w:pPr>
        <w:spacing w:line="240" w:lineRule="auto"/>
      </w:pPr>
    </w:p>
    <w:p w14:paraId="4A17B37D" w14:textId="0F97365E" w:rsidR="00F30235" w:rsidRDefault="00F30235" w:rsidP="00F30235">
      <w:pPr>
        <w:spacing w:line="240" w:lineRule="auto"/>
      </w:pPr>
      <w:r>
        <w:t>Výše uvedené jednání má</w:t>
      </w:r>
      <w:r w:rsidR="00AB229E">
        <w:t xml:space="preserve"> dlouhodobý</w:t>
      </w:r>
      <w:r>
        <w:t xml:space="preserve"> negativní dopad </w:t>
      </w:r>
      <w:r w:rsidRPr="00F30235">
        <w:t>na rozvoj turismu</w:t>
      </w:r>
      <w:r>
        <w:t xml:space="preserve"> v hl. m. Praze</w:t>
      </w:r>
      <w:r w:rsidR="004271FE">
        <w:t xml:space="preserve"> a může vrhat nepříznivý</w:t>
      </w:r>
      <w:r>
        <w:t xml:space="preserve"> pohled obyvatel i turistů na ostatní sbírky, které jsou konané </w:t>
      </w:r>
      <w:r w:rsidR="00856224">
        <w:t>v souladu se</w:t>
      </w:r>
      <w:r>
        <w:t xml:space="preserve"> zákon</w:t>
      </w:r>
      <w:r w:rsidR="00856224">
        <w:t>em</w:t>
      </w:r>
      <w:r>
        <w:t xml:space="preserve"> a </w:t>
      </w:r>
      <w:r w:rsidR="004271FE">
        <w:t>pro skutečný veřejně prospěšný účel.</w:t>
      </w:r>
    </w:p>
    <w:p w14:paraId="63571034" w14:textId="77777777" w:rsidR="004271FE" w:rsidRDefault="004271FE" w:rsidP="00F30235">
      <w:pPr>
        <w:spacing w:line="240" w:lineRule="auto"/>
      </w:pPr>
    </w:p>
    <w:p w14:paraId="3CC96674" w14:textId="14A84575" w:rsidR="004271FE" w:rsidRDefault="004271FE" w:rsidP="00F30235">
      <w:pPr>
        <w:spacing w:line="240" w:lineRule="auto"/>
      </w:pPr>
      <w:r>
        <w:t xml:space="preserve">Cílem předkládaného návrhu je zákonem stanovit oprávnění obcí v samostatné působnosti vydávat obecně závazné vyhlášky, kterými obce budou moci regulovat konání sbírek na svém území, a to pouze </w:t>
      </w:r>
      <w:r>
        <w:lastRenderedPageBreak/>
        <w:t>takových sbírek, které jsou realizovány prodejem předmětů</w:t>
      </w:r>
      <w:r w:rsidR="00856224">
        <w:t xml:space="preserve"> a služeb</w:t>
      </w:r>
      <w:r w:rsidRPr="004271FE">
        <w:t xml:space="preserve"> v cestovním ruchu (suvenýry, zážitky, atraktivity, průvodcovské služby</w:t>
      </w:r>
      <w:r>
        <w:t xml:space="preserve"> atp.</w:t>
      </w:r>
      <w:r w:rsidRPr="004271FE">
        <w:t>)</w:t>
      </w:r>
      <w:r>
        <w:t>.</w:t>
      </w:r>
    </w:p>
    <w:p w14:paraId="18954D9F" w14:textId="77777777" w:rsidR="004271FE" w:rsidRDefault="004271FE" w:rsidP="00F30235">
      <w:pPr>
        <w:spacing w:line="240" w:lineRule="auto"/>
      </w:pPr>
    </w:p>
    <w:p w14:paraId="1A20D62A" w14:textId="031E80F4" w:rsidR="004271FE" w:rsidRDefault="004271FE" w:rsidP="00F30235">
      <w:pPr>
        <w:spacing w:line="240" w:lineRule="auto"/>
      </w:pPr>
      <w:r>
        <w:t xml:space="preserve">Zákon č. </w:t>
      </w:r>
      <w:r w:rsidRPr="007A5F50">
        <w:t>128/2000 Sb.</w:t>
      </w:r>
      <w:r>
        <w:t>,</w:t>
      </w:r>
      <w:r w:rsidRPr="007A5F50">
        <w:t xml:space="preserve"> </w:t>
      </w:r>
      <w:r>
        <w:t xml:space="preserve">o obcích </w:t>
      </w:r>
      <w:r w:rsidRPr="007A5F50">
        <w:t>(obecní zřízení)</w:t>
      </w:r>
      <w:r>
        <w:t xml:space="preserve">, ve znění pozdějších předpisů (§ 10 písm. a) a d)), a zákon č. 131/2000 Sb., </w:t>
      </w:r>
      <w:r w:rsidRPr="007A5F50">
        <w:t>o hlavním městě Praze</w:t>
      </w:r>
      <w:r>
        <w:t>, ve znění pozdějších předpisů (§ 44 odst. 3 písm. a) a d)), umožňuje obci/hl. m. Praze obecně závaznou vyhláškou k zabezpečení místních záležitostí veřejného pořádku např. stanovit, které činnosti, jež by mohly narušit veřejný pořádek v obci nebo být v rozporu s dobrými mravy, ochranou bezpečnosti, zdraví a majetku, lze vykonávat pouze na místech a v čase obecně závaznou vyhláškou určených, nebo stanovit, že na některých veřejných prostranstvích v obci jsou takové činnosti zakázány</w:t>
      </w:r>
      <w:r w:rsidR="00856224">
        <w:t xml:space="preserve">. Obce </w:t>
      </w:r>
      <w:r>
        <w:t xml:space="preserve">mohou obecně závaznou vyhláškou ukládat i další povinnosti, pokud tak stanoví </w:t>
      </w:r>
      <w:r w:rsidR="00E55B6F">
        <w:t xml:space="preserve">zvláštní </w:t>
      </w:r>
      <w:r>
        <w:t>zákon.</w:t>
      </w:r>
    </w:p>
    <w:p w14:paraId="300A78A4" w14:textId="77777777" w:rsidR="004271FE" w:rsidRDefault="004271FE" w:rsidP="00F30235">
      <w:pPr>
        <w:spacing w:line="240" w:lineRule="auto"/>
      </w:pPr>
    </w:p>
    <w:p w14:paraId="2BDD5D15" w14:textId="2606ECB1" w:rsidR="007A5F50" w:rsidRDefault="004271FE" w:rsidP="00E55B6F">
      <w:pPr>
        <w:spacing w:line="240" w:lineRule="auto"/>
      </w:pPr>
      <w:r>
        <w:t>Regulovat konání sbírek</w:t>
      </w:r>
      <w:r w:rsidR="00E55B6F">
        <w:t>,</w:t>
      </w:r>
      <w:r w:rsidR="00E55B6F" w:rsidRPr="00E55B6F">
        <w:t xml:space="preserve"> </w:t>
      </w:r>
      <w:r w:rsidR="00E55B6F">
        <w:t xml:space="preserve">které jsou realizovány prodejem </w:t>
      </w:r>
      <w:r w:rsidR="00E55B6F" w:rsidRPr="004271FE">
        <w:t>služ</w:t>
      </w:r>
      <w:r w:rsidR="00E55B6F">
        <w:t>eb</w:t>
      </w:r>
      <w:r w:rsidR="00E55B6F" w:rsidRPr="004271FE">
        <w:t xml:space="preserve"> a </w:t>
      </w:r>
      <w:r w:rsidR="00E55B6F">
        <w:t>předmětů</w:t>
      </w:r>
      <w:r w:rsidR="00E55B6F" w:rsidRPr="004271FE">
        <w:t xml:space="preserve"> v cestovním ruchu</w:t>
      </w:r>
      <w:r w:rsidR="00E55B6F">
        <w:t>,</w:t>
      </w:r>
      <w:r>
        <w:t xml:space="preserve"> prostřednictvím obecně závazných vyhlášek v samostatné působnosti obcí/hl. m. Prahy </w:t>
      </w:r>
      <w:r w:rsidR="00E55B6F">
        <w:t xml:space="preserve">prostřednictvím zakotvení výslovné úpravy v zákoně č. </w:t>
      </w:r>
      <w:r w:rsidR="00E55B6F" w:rsidRPr="00E55B6F">
        <w:t xml:space="preserve">117/2001 Sb., </w:t>
      </w:r>
      <w:r>
        <w:t xml:space="preserve">je </w:t>
      </w:r>
      <w:r w:rsidR="00E55B6F">
        <w:t>tedy způsob, jak eliminovat nežádoucí důsledky výše popsaného jednání.</w:t>
      </w:r>
    </w:p>
    <w:sectPr w:rsidR="007A5F50" w:rsidSect="00CD7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CD819" w14:textId="77777777" w:rsidR="00382D8E" w:rsidRDefault="00382D8E" w:rsidP="001E4405">
      <w:pPr>
        <w:spacing w:line="240" w:lineRule="auto"/>
      </w:pPr>
      <w:r>
        <w:separator/>
      </w:r>
    </w:p>
  </w:endnote>
  <w:endnote w:type="continuationSeparator" w:id="0">
    <w:p w14:paraId="42382BE5" w14:textId="77777777" w:rsidR="00382D8E" w:rsidRDefault="00382D8E" w:rsidP="001E4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647BB" w14:textId="77777777" w:rsidR="00E2271C" w:rsidRDefault="00E227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563681"/>
      <w:docPartObj>
        <w:docPartGallery w:val="Page Numbers (Bottom of Page)"/>
        <w:docPartUnique/>
      </w:docPartObj>
    </w:sdtPr>
    <w:sdtEndPr/>
    <w:sdtContent>
      <w:p w14:paraId="3666C881" w14:textId="77777777" w:rsidR="00595889" w:rsidRDefault="00A10A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71C">
          <w:rPr>
            <w:noProof/>
          </w:rPr>
          <w:t>2</w:t>
        </w:r>
        <w:r>
          <w:fldChar w:fldCharType="end"/>
        </w:r>
      </w:p>
    </w:sdtContent>
  </w:sdt>
  <w:p w14:paraId="2026C9BE" w14:textId="77777777" w:rsidR="00595889" w:rsidRDefault="0059588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C751D" w14:textId="77777777" w:rsidR="00595889" w:rsidRDefault="00595889">
    <w:pPr>
      <w:pStyle w:val="Zpat"/>
      <w:jc w:val="center"/>
    </w:pPr>
  </w:p>
  <w:p w14:paraId="7A75DA09" w14:textId="77777777" w:rsidR="00595889" w:rsidRDefault="005958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D0ACF" w14:textId="77777777" w:rsidR="00382D8E" w:rsidRDefault="00382D8E" w:rsidP="001E4405">
      <w:pPr>
        <w:spacing w:line="240" w:lineRule="auto"/>
      </w:pPr>
      <w:r>
        <w:separator/>
      </w:r>
    </w:p>
  </w:footnote>
  <w:footnote w:type="continuationSeparator" w:id="0">
    <w:p w14:paraId="10FEA9A7" w14:textId="77777777" w:rsidR="00382D8E" w:rsidRDefault="00382D8E" w:rsidP="001E44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8D3A0" w14:textId="77777777" w:rsidR="00E2271C" w:rsidRDefault="00E227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A87BB" w14:textId="77777777" w:rsidR="00E2271C" w:rsidRDefault="00E227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ED90F" w14:textId="357F05D4" w:rsidR="00E2271C" w:rsidRDefault="00E2271C">
    <w:pPr>
      <w:pStyle w:val="Zhlav"/>
    </w:pPr>
    <w:r>
      <w:tab/>
    </w:r>
    <w:r>
      <w:tab/>
      <w:t xml:space="preserve">Příloha č. </w:t>
    </w:r>
    <w:r>
      <w:t xml:space="preserve">1 k </w:t>
    </w:r>
    <w:r>
      <w:t>zápisu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654C5"/>
    <w:multiLevelType w:val="hybridMultilevel"/>
    <w:tmpl w:val="EEFE04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56F4B"/>
    <w:multiLevelType w:val="hybridMultilevel"/>
    <w:tmpl w:val="11A2B5FE"/>
    <w:lvl w:ilvl="0" w:tplc="CAC69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95"/>
    <w:rsid w:val="001432E2"/>
    <w:rsid w:val="001E4405"/>
    <w:rsid w:val="00382D8E"/>
    <w:rsid w:val="004271FE"/>
    <w:rsid w:val="004D6540"/>
    <w:rsid w:val="00521D74"/>
    <w:rsid w:val="00595889"/>
    <w:rsid w:val="005D02EC"/>
    <w:rsid w:val="005F6AF7"/>
    <w:rsid w:val="00721462"/>
    <w:rsid w:val="007A5F50"/>
    <w:rsid w:val="007C6195"/>
    <w:rsid w:val="00805283"/>
    <w:rsid w:val="00856224"/>
    <w:rsid w:val="00862062"/>
    <w:rsid w:val="0089692C"/>
    <w:rsid w:val="009151AF"/>
    <w:rsid w:val="009F16B6"/>
    <w:rsid w:val="00A10A4E"/>
    <w:rsid w:val="00A76B10"/>
    <w:rsid w:val="00AB229E"/>
    <w:rsid w:val="00B6761C"/>
    <w:rsid w:val="00B9762F"/>
    <w:rsid w:val="00C62DE1"/>
    <w:rsid w:val="00CA31F1"/>
    <w:rsid w:val="00D5560A"/>
    <w:rsid w:val="00E2271C"/>
    <w:rsid w:val="00E55B6F"/>
    <w:rsid w:val="00EC3F4C"/>
    <w:rsid w:val="00F30235"/>
    <w:rsid w:val="00F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993F"/>
  <w15:chartTrackingRefBased/>
  <w15:docId w15:val="{38D28626-3170-493E-B536-01C72A46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95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u">
    <w:name w:val="Text dopisu"/>
    <w:basedOn w:val="Normln"/>
    <w:link w:val="TextdopisuChar"/>
    <w:qFormat/>
    <w:rsid w:val="007C6195"/>
    <w:pPr>
      <w:spacing w:before="40" w:line="240" w:lineRule="auto"/>
      <w:ind w:left="426"/>
    </w:pPr>
    <w:rPr>
      <w:szCs w:val="22"/>
    </w:rPr>
  </w:style>
  <w:style w:type="character" w:customStyle="1" w:styleId="TextdopisuChar">
    <w:name w:val="Text dopisu Char"/>
    <w:link w:val="Textdopisu"/>
    <w:rsid w:val="007C6195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61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195"/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7A5F5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440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44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E4405"/>
    <w:rPr>
      <w:vertAlign w:val="superscript"/>
    </w:rPr>
  </w:style>
  <w:style w:type="paragraph" w:styleId="Revize">
    <w:name w:val="Revision"/>
    <w:hidden/>
    <w:uiPriority w:val="99"/>
    <w:semiHidden/>
    <w:rsid w:val="00B9762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A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A4E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2271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71C"/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5EEC-025A-4B42-B7B1-C58C9F9F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AKMazel</dc:creator>
  <cp:keywords/>
  <dc:description/>
  <cp:lastModifiedBy>Jechová Iveta (MHMP, KUC)</cp:lastModifiedBy>
  <cp:revision>3</cp:revision>
  <cp:lastPrinted>2023-09-18T07:47:00Z</cp:lastPrinted>
  <dcterms:created xsi:type="dcterms:W3CDTF">2023-09-18T07:48:00Z</dcterms:created>
  <dcterms:modified xsi:type="dcterms:W3CDTF">2023-09-25T07:39:00Z</dcterms:modified>
</cp:coreProperties>
</file>