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04" w:rsidRDefault="00036604">
      <w:pPr>
        <w:rPr>
          <w:b/>
          <w:bCs/>
        </w:rPr>
      </w:pPr>
    </w:p>
    <w:p w:rsidR="00036604" w:rsidRPr="00635A83" w:rsidRDefault="00036604" w:rsidP="005161C0">
      <w:pPr>
        <w:outlineLvl w:val="0"/>
        <w:rPr>
          <w:b/>
          <w:bCs/>
          <w:sz w:val="28"/>
          <w:szCs w:val="28"/>
        </w:rPr>
      </w:pPr>
      <w:r w:rsidRPr="00635A83">
        <w:rPr>
          <w:b/>
          <w:bCs/>
          <w:sz w:val="28"/>
          <w:szCs w:val="28"/>
        </w:rPr>
        <w:t>2. Příjmy městských částí hl. m. Prahy</w:t>
      </w:r>
    </w:p>
    <w:p w:rsidR="00036604" w:rsidRDefault="00036604">
      <w:pPr>
        <w:rPr>
          <w:b/>
          <w:bCs/>
        </w:rPr>
      </w:pPr>
    </w:p>
    <w:p w:rsidR="00036604" w:rsidRPr="00721580" w:rsidRDefault="00036604">
      <w:pPr>
        <w:jc w:val="both"/>
      </w:pPr>
      <w:r w:rsidRPr="00721580">
        <w:t>Celkové příjmy městských částí k</w:t>
      </w:r>
      <w:r>
        <w:t> </w:t>
      </w:r>
      <w:r w:rsidRPr="00721580">
        <w:t>3</w:t>
      </w:r>
      <w:r>
        <w:t>1. 12. 2015</w:t>
      </w:r>
      <w:r>
        <w:rPr>
          <w:color w:val="FF0000"/>
        </w:rPr>
        <w:t xml:space="preserve"> </w:t>
      </w:r>
      <w:r w:rsidRPr="00721580">
        <w:t xml:space="preserve">dosáhly výše </w:t>
      </w:r>
      <w:r>
        <w:t xml:space="preserve">12 412 854,3 </w:t>
      </w:r>
      <w:r w:rsidRPr="00721580">
        <w:t>tis.</w:t>
      </w:r>
      <w:r>
        <w:t> Kč, což představuje plnění na 87,28</w:t>
      </w:r>
      <w:r w:rsidRPr="00721580">
        <w:t xml:space="preserve"> % </w:t>
      </w:r>
      <w:r>
        <w:t xml:space="preserve">upraveného </w:t>
      </w:r>
      <w:r w:rsidRPr="00721580">
        <w:t>rozpočtu. Vlastní příjmy městských částí, tedy příjmy daňové, nedaňové a kapitálové, kte</w:t>
      </w:r>
      <w:r>
        <w:t>ré rozpočtově tvoří 11,18 % ce</w:t>
      </w:r>
      <w:r w:rsidRPr="00721580">
        <w:t>lkových příjmů</w:t>
      </w:r>
      <w:r>
        <w:t xml:space="preserve"> RU </w:t>
      </w:r>
      <w:r w:rsidRPr="00721580">
        <w:t>městských částí, vykazují plnění</w:t>
      </w:r>
      <w:r>
        <w:t xml:space="preserve"> na 109,51 % </w:t>
      </w:r>
      <w:r w:rsidRPr="00721580">
        <w:t xml:space="preserve">upraveného rozpočtu. </w:t>
      </w:r>
      <w:r>
        <w:t xml:space="preserve">Upravený rozpočet </w:t>
      </w:r>
      <w:r>
        <w:br/>
        <w:t xml:space="preserve">u „přijatých transferů“ je plněn na 84,48 %. </w:t>
      </w:r>
      <w:r w:rsidRPr="00971717">
        <w:t xml:space="preserve"> Přehled</w:t>
      </w:r>
      <w:r w:rsidRPr="00721580">
        <w:t xml:space="preserve"> o plnění jednotlivých druhů příjmů </w:t>
      </w:r>
      <w:r>
        <w:t>k 31. 12. 2015 d</w:t>
      </w:r>
      <w:r w:rsidRPr="00721580">
        <w:t>okumentuje  nás</w:t>
      </w:r>
      <w:r>
        <w:t xml:space="preserve">ledující </w:t>
      </w:r>
      <w:r w:rsidRPr="00721580">
        <w:t>tabulka:</w:t>
      </w:r>
    </w:p>
    <w:p w:rsidR="00036604" w:rsidRPr="00803114" w:rsidRDefault="00036604">
      <w:pPr>
        <w:jc w:val="both"/>
        <w:rPr>
          <w:highlight w:val="cyan"/>
        </w:rPr>
      </w:pPr>
    </w:p>
    <w:p w:rsidR="00036604" w:rsidRPr="00803114" w:rsidRDefault="00036604">
      <w:pPr>
        <w:jc w:val="both"/>
        <w:rPr>
          <w:highlight w:val="cyan"/>
        </w:rPr>
      </w:pPr>
    </w:p>
    <w:p w:rsidR="00036604" w:rsidRPr="00803114" w:rsidRDefault="00036604">
      <w:pPr>
        <w:jc w:val="both"/>
        <w:rPr>
          <w:highlight w:val="cyan"/>
        </w:rPr>
      </w:pPr>
    </w:p>
    <w:tbl>
      <w:tblPr>
        <w:tblW w:w="9513" w:type="dxa"/>
        <w:tblInd w:w="55" w:type="dxa"/>
        <w:tblCellMar>
          <w:left w:w="70" w:type="dxa"/>
          <w:right w:w="70" w:type="dxa"/>
        </w:tblCellMar>
        <w:tblLook w:val="00A0"/>
      </w:tblPr>
      <w:tblGrid>
        <w:gridCol w:w="2140"/>
        <w:gridCol w:w="1419"/>
        <w:gridCol w:w="1418"/>
        <w:gridCol w:w="850"/>
        <w:gridCol w:w="1276"/>
        <w:gridCol w:w="1388"/>
        <w:gridCol w:w="1022"/>
      </w:tblGrid>
      <w:tr w:rsidR="00036604" w:rsidTr="00950E4F">
        <w:trPr>
          <w:trHeight w:val="270"/>
        </w:trPr>
        <w:tc>
          <w:tcPr>
            <w:tcW w:w="2140" w:type="dxa"/>
            <w:tcBorders>
              <w:top w:val="nil"/>
              <w:left w:val="nil"/>
              <w:bottom w:val="nil"/>
              <w:right w:val="nil"/>
            </w:tcBorders>
            <w:noWrap/>
            <w:vAlign w:val="bottom"/>
          </w:tcPr>
          <w:p w:rsidR="00036604" w:rsidRDefault="00036604">
            <w:pPr>
              <w:rPr>
                <w:rFonts w:ascii="Arial" w:hAnsi="Arial" w:cs="Arial"/>
                <w:sz w:val="20"/>
                <w:szCs w:val="20"/>
              </w:rPr>
            </w:pPr>
          </w:p>
        </w:tc>
        <w:tc>
          <w:tcPr>
            <w:tcW w:w="1419" w:type="dxa"/>
            <w:tcBorders>
              <w:top w:val="nil"/>
              <w:left w:val="nil"/>
              <w:bottom w:val="nil"/>
              <w:right w:val="nil"/>
            </w:tcBorders>
            <w:noWrap/>
            <w:vAlign w:val="bottom"/>
          </w:tcPr>
          <w:p w:rsidR="00036604" w:rsidRDefault="00036604">
            <w:pPr>
              <w:rPr>
                <w:rFonts w:ascii="Arial" w:hAnsi="Arial" w:cs="Arial"/>
                <w:sz w:val="20"/>
                <w:szCs w:val="20"/>
              </w:rPr>
            </w:pPr>
          </w:p>
        </w:tc>
        <w:tc>
          <w:tcPr>
            <w:tcW w:w="1418" w:type="dxa"/>
            <w:tcBorders>
              <w:top w:val="nil"/>
              <w:left w:val="nil"/>
              <w:bottom w:val="nil"/>
              <w:right w:val="nil"/>
            </w:tcBorders>
            <w:noWrap/>
            <w:vAlign w:val="bottom"/>
          </w:tcPr>
          <w:p w:rsidR="00036604" w:rsidRDefault="00036604">
            <w:pPr>
              <w:rPr>
                <w:rFonts w:ascii="Arial" w:hAnsi="Arial" w:cs="Arial"/>
                <w:sz w:val="20"/>
                <w:szCs w:val="20"/>
              </w:rPr>
            </w:pPr>
          </w:p>
        </w:tc>
        <w:tc>
          <w:tcPr>
            <w:tcW w:w="850" w:type="dxa"/>
            <w:tcBorders>
              <w:top w:val="nil"/>
              <w:left w:val="nil"/>
              <w:bottom w:val="nil"/>
              <w:right w:val="nil"/>
            </w:tcBorders>
            <w:noWrap/>
            <w:vAlign w:val="bottom"/>
          </w:tcPr>
          <w:p w:rsidR="00036604" w:rsidRDefault="00036604">
            <w:pPr>
              <w:rPr>
                <w:rFonts w:ascii="Arial" w:hAnsi="Arial" w:cs="Arial"/>
                <w:sz w:val="20"/>
                <w:szCs w:val="20"/>
              </w:rPr>
            </w:pPr>
          </w:p>
        </w:tc>
        <w:tc>
          <w:tcPr>
            <w:tcW w:w="1276" w:type="dxa"/>
            <w:tcBorders>
              <w:top w:val="nil"/>
              <w:left w:val="nil"/>
              <w:bottom w:val="nil"/>
              <w:right w:val="nil"/>
            </w:tcBorders>
            <w:noWrap/>
            <w:vAlign w:val="bottom"/>
          </w:tcPr>
          <w:p w:rsidR="00036604" w:rsidRDefault="00036604">
            <w:pPr>
              <w:rPr>
                <w:rFonts w:ascii="Arial" w:hAnsi="Arial" w:cs="Arial"/>
                <w:sz w:val="20"/>
                <w:szCs w:val="20"/>
              </w:rPr>
            </w:pPr>
          </w:p>
        </w:tc>
        <w:tc>
          <w:tcPr>
            <w:tcW w:w="1388" w:type="dxa"/>
            <w:tcBorders>
              <w:top w:val="nil"/>
              <w:left w:val="nil"/>
              <w:bottom w:val="nil"/>
              <w:right w:val="nil"/>
            </w:tcBorders>
            <w:noWrap/>
            <w:vAlign w:val="bottom"/>
          </w:tcPr>
          <w:p w:rsidR="00036604" w:rsidRDefault="00036604">
            <w:pPr>
              <w:rPr>
                <w:rFonts w:ascii="Arial" w:hAnsi="Arial" w:cs="Arial"/>
                <w:sz w:val="20"/>
                <w:szCs w:val="20"/>
              </w:rPr>
            </w:pPr>
          </w:p>
        </w:tc>
        <w:tc>
          <w:tcPr>
            <w:tcW w:w="1022" w:type="dxa"/>
            <w:tcBorders>
              <w:top w:val="nil"/>
              <w:left w:val="nil"/>
              <w:bottom w:val="nil"/>
              <w:right w:val="nil"/>
            </w:tcBorders>
            <w:noWrap/>
            <w:vAlign w:val="bottom"/>
          </w:tcPr>
          <w:p w:rsidR="00036604" w:rsidRDefault="00036604">
            <w:pPr>
              <w:jc w:val="center"/>
              <w:rPr>
                <w:rFonts w:ascii="Arial" w:hAnsi="Arial" w:cs="Arial"/>
                <w:sz w:val="20"/>
                <w:szCs w:val="20"/>
              </w:rPr>
            </w:pPr>
            <w:r>
              <w:rPr>
                <w:rFonts w:ascii="Arial" w:hAnsi="Arial" w:cs="Arial"/>
                <w:sz w:val="20"/>
                <w:szCs w:val="20"/>
              </w:rPr>
              <w:t>v tis. Kč</w:t>
            </w:r>
          </w:p>
        </w:tc>
      </w:tr>
      <w:tr w:rsidR="00036604" w:rsidTr="00950E4F">
        <w:trPr>
          <w:trHeight w:val="255"/>
        </w:trPr>
        <w:tc>
          <w:tcPr>
            <w:tcW w:w="2140" w:type="dxa"/>
            <w:tcBorders>
              <w:top w:val="single" w:sz="8" w:space="0" w:color="auto"/>
              <w:left w:val="single" w:sz="4" w:space="0" w:color="auto"/>
              <w:bottom w:val="nil"/>
              <w:right w:val="nil"/>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Druh příjmů</w:t>
            </w:r>
          </w:p>
        </w:tc>
        <w:tc>
          <w:tcPr>
            <w:tcW w:w="1419" w:type="dxa"/>
            <w:tcBorders>
              <w:top w:val="single" w:sz="8" w:space="0" w:color="auto"/>
              <w:left w:val="single" w:sz="8" w:space="0" w:color="auto"/>
              <w:bottom w:val="nil"/>
              <w:right w:val="single" w:sz="8" w:space="0" w:color="auto"/>
            </w:tcBorders>
            <w:shd w:val="clear" w:color="000000" w:fill="C0C0C0"/>
            <w:vAlign w:val="bottom"/>
          </w:tcPr>
          <w:p w:rsidR="00036604" w:rsidRDefault="00036604">
            <w:pPr>
              <w:jc w:val="center"/>
              <w:rPr>
                <w:rFonts w:ascii="Arial" w:hAnsi="Arial" w:cs="Arial"/>
                <w:b/>
                <w:bCs/>
                <w:sz w:val="20"/>
                <w:szCs w:val="20"/>
              </w:rPr>
            </w:pPr>
            <w:r>
              <w:rPr>
                <w:rFonts w:ascii="Arial" w:hAnsi="Arial" w:cs="Arial"/>
                <w:b/>
                <w:bCs/>
                <w:sz w:val="20"/>
                <w:szCs w:val="20"/>
              </w:rPr>
              <w:t>Rozpočet</w:t>
            </w:r>
          </w:p>
        </w:tc>
        <w:tc>
          <w:tcPr>
            <w:tcW w:w="1418" w:type="dxa"/>
            <w:tcBorders>
              <w:top w:val="single" w:sz="8" w:space="0" w:color="auto"/>
              <w:left w:val="nil"/>
              <w:bottom w:val="nil"/>
              <w:right w:val="single" w:sz="8" w:space="0" w:color="auto"/>
            </w:tcBorders>
            <w:shd w:val="clear" w:color="000000" w:fill="C0C0C0"/>
            <w:vAlign w:val="bottom"/>
          </w:tcPr>
          <w:p w:rsidR="00036604" w:rsidRDefault="00036604">
            <w:pPr>
              <w:jc w:val="center"/>
              <w:rPr>
                <w:rFonts w:ascii="Arial" w:hAnsi="Arial" w:cs="Arial"/>
                <w:b/>
                <w:bCs/>
                <w:sz w:val="20"/>
                <w:szCs w:val="20"/>
              </w:rPr>
            </w:pPr>
            <w:r>
              <w:rPr>
                <w:rFonts w:ascii="Arial" w:hAnsi="Arial" w:cs="Arial"/>
                <w:b/>
                <w:bCs/>
                <w:sz w:val="20"/>
                <w:szCs w:val="20"/>
              </w:rPr>
              <w:t>Rozpočet</w:t>
            </w:r>
          </w:p>
        </w:tc>
        <w:tc>
          <w:tcPr>
            <w:tcW w:w="850" w:type="dxa"/>
            <w:tcBorders>
              <w:top w:val="single" w:sz="8" w:space="0" w:color="auto"/>
              <w:left w:val="nil"/>
              <w:bottom w:val="nil"/>
              <w:right w:val="nil"/>
            </w:tcBorders>
            <w:shd w:val="clear" w:color="000000" w:fill="C0C0C0"/>
            <w:vAlign w:val="bottom"/>
          </w:tcPr>
          <w:p w:rsidR="00036604" w:rsidRDefault="00036604">
            <w:pPr>
              <w:jc w:val="center"/>
              <w:rPr>
                <w:rFonts w:ascii="Arial" w:hAnsi="Arial" w:cs="Arial"/>
                <w:b/>
                <w:bCs/>
                <w:sz w:val="20"/>
                <w:szCs w:val="20"/>
              </w:rPr>
            </w:pPr>
            <w:r>
              <w:rPr>
                <w:rFonts w:ascii="Arial" w:hAnsi="Arial" w:cs="Arial"/>
                <w:b/>
                <w:bCs/>
                <w:sz w:val="20"/>
                <w:szCs w:val="20"/>
              </w:rPr>
              <w:t>RU</w:t>
            </w:r>
          </w:p>
        </w:tc>
        <w:tc>
          <w:tcPr>
            <w:tcW w:w="1276" w:type="dxa"/>
            <w:tcBorders>
              <w:top w:val="single" w:sz="8" w:space="0" w:color="auto"/>
              <w:left w:val="single" w:sz="8" w:space="0" w:color="auto"/>
              <w:bottom w:val="nil"/>
              <w:right w:val="single" w:sz="8" w:space="0" w:color="auto"/>
            </w:tcBorders>
            <w:shd w:val="clear" w:color="000000" w:fill="C0C0C0"/>
            <w:vAlign w:val="bottom"/>
          </w:tcPr>
          <w:p w:rsidR="00036604" w:rsidRDefault="00036604">
            <w:pPr>
              <w:jc w:val="center"/>
              <w:rPr>
                <w:rFonts w:ascii="Arial" w:hAnsi="Arial" w:cs="Arial"/>
                <w:b/>
                <w:bCs/>
                <w:sz w:val="20"/>
                <w:szCs w:val="20"/>
              </w:rPr>
            </w:pPr>
            <w:r>
              <w:rPr>
                <w:rFonts w:ascii="Arial" w:hAnsi="Arial" w:cs="Arial"/>
                <w:b/>
                <w:bCs/>
                <w:sz w:val="20"/>
                <w:szCs w:val="20"/>
              </w:rPr>
              <w:t>Úpravy</w:t>
            </w:r>
          </w:p>
        </w:tc>
        <w:tc>
          <w:tcPr>
            <w:tcW w:w="1388" w:type="dxa"/>
            <w:tcBorders>
              <w:top w:val="single" w:sz="8" w:space="0" w:color="auto"/>
              <w:left w:val="nil"/>
              <w:bottom w:val="nil"/>
              <w:right w:val="single" w:sz="8" w:space="0" w:color="auto"/>
            </w:tcBorders>
            <w:shd w:val="clear" w:color="000000" w:fill="C0C0C0"/>
            <w:vAlign w:val="bottom"/>
          </w:tcPr>
          <w:p w:rsidR="00036604" w:rsidRDefault="00036604">
            <w:pPr>
              <w:jc w:val="center"/>
              <w:rPr>
                <w:rFonts w:ascii="Arial" w:hAnsi="Arial" w:cs="Arial"/>
                <w:b/>
                <w:bCs/>
                <w:sz w:val="20"/>
                <w:szCs w:val="20"/>
              </w:rPr>
            </w:pPr>
            <w:r>
              <w:rPr>
                <w:rFonts w:ascii="Arial" w:hAnsi="Arial" w:cs="Arial"/>
                <w:b/>
                <w:bCs/>
                <w:sz w:val="20"/>
                <w:szCs w:val="20"/>
              </w:rPr>
              <w:t>Skutečnost</w:t>
            </w:r>
          </w:p>
        </w:tc>
        <w:tc>
          <w:tcPr>
            <w:tcW w:w="1022" w:type="dxa"/>
            <w:tcBorders>
              <w:top w:val="single" w:sz="8" w:space="0" w:color="auto"/>
              <w:left w:val="nil"/>
              <w:bottom w:val="nil"/>
              <w:right w:val="single" w:sz="8" w:space="0" w:color="auto"/>
            </w:tcBorders>
            <w:shd w:val="clear" w:color="000000" w:fill="C0C0C0"/>
            <w:vAlign w:val="bottom"/>
          </w:tcPr>
          <w:p w:rsidR="00036604" w:rsidRDefault="00036604">
            <w:pPr>
              <w:rPr>
                <w:rFonts w:ascii="Arial" w:hAnsi="Arial" w:cs="Arial"/>
                <w:b/>
                <w:bCs/>
                <w:sz w:val="20"/>
                <w:szCs w:val="20"/>
              </w:rPr>
            </w:pPr>
            <w:r>
              <w:rPr>
                <w:rFonts w:ascii="Arial" w:hAnsi="Arial" w:cs="Arial"/>
                <w:b/>
                <w:bCs/>
                <w:sz w:val="20"/>
                <w:szCs w:val="20"/>
              </w:rPr>
              <w:t>% plnění</w:t>
            </w:r>
          </w:p>
        </w:tc>
      </w:tr>
      <w:tr w:rsidR="00036604" w:rsidTr="00950E4F">
        <w:trPr>
          <w:trHeight w:val="345"/>
        </w:trPr>
        <w:tc>
          <w:tcPr>
            <w:tcW w:w="2140" w:type="dxa"/>
            <w:tcBorders>
              <w:top w:val="nil"/>
              <w:left w:val="single" w:sz="4" w:space="0" w:color="auto"/>
              <w:bottom w:val="single" w:sz="8" w:space="0" w:color="auto"/>
              <w:right w:val="nil"/>
            </w:tcBorders>
            <w:shd w:val="clear" w:color="000000" w:fill="C0C0C0"/>
            <w:noWrap/>
            <w:vAlign w:val="bottom"/>
          </w:tcPr>
          <w:p w:rsidR="00036604" w:rsidRDefault="00036604">
            <w:pPr>
              <w:rPr>
                <w:rFonts w:ascii="Arial" w:hAnsi="Arial" w:cs="Arial"/>
                <w:b/>
                <w:bCs/>
                <w:sz w:val="20"/>
                <w:szCs w:val="20"/>
              </w:rPr>
            </w:pPr>
            <w:r>
              <w:rPr>
                <w:rFonts w:ascii="Arial" w:hAnsi="Arial" w:cs="Arial"/>
                <w:b/>
                <w:bCs/>
                <w:sz w:val="20"/>
                <w:szCs w:val="20"/>
              </w:rPr>
              <w:t> </w:t>
            </w:r>
          </w:p>
        </w:tc>
        <w:tc>
          <w:tcPr>
            <w:tcW w:w="1419" w:type="dxa"/>
            <w:tcBorders>
              <w:top w:val="nil"/>
              <w:left w:val="single" w:sz="8" w:space="0" w:color="auto"/>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schválený</w:t>
            </w:r>
          </w:p>
        </w:tc>
        <w:tc>
          <w:tcPr>
            <w:tcW w:w="1418" w:type="dxa"/>
            <w:tcBorders>
              <w:top w:val="nil"/>
              <w:left w:val="nil"/>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upravený</w:t>
            </w:r>
          </w:p>
        </w:tc>
        <w:tc>
          <w:tcPr>
            <w:tcW w:w="850" w:type="dxa"/>
            <w:tcBorders>
              <w:top w:val="nil"/>
              <w:left w:val="nil"/>
              <w:bottom w:val="single" w:sz="8" w:space="0" w:color="auto"/>
              <w:right w:val="nil"/>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 z celku</w:t>
            </w:r>
          </w:p>
        </w:tc>
        <w:tc>
          <w:tcPr>
            <w:tcW w:w="1276" w:type="dxa"/>
            <w:tcBorders>
              <w:top w:val="nil"/>
              <w:left w:val="single" w:sz="8" w:space="0" w:color="auto"/>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za 4.čtvrtletí</w:t>
            </w:r>
          </w:p>
        </w:tc>
        <w:tc>
          <w:tcPr>
            <w:tcW w:w="1388" w:type="dxa"/>
            <w:tcBorders>
              <w:top w:val="nil"/>
              <w:left w:val="nil"/>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k 31.12.2015</w:t>
            </w:r>
          </w:p>
        </w:tc>
        <w:tc>
          <w:tcPr>
            <w:tcW w:w="1022" w:type="dxa"/>
            <w:tcBorders>
              <w:top w:val="nil"/>
              <w:left w:val="nil"/>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20"/>
                <w:szCs w:val="20"/>
              </w:rPr>
            </w:pPr>
            <w:r>
              <w:rPr>
                <w:rFonts w:ascii="Arial" w:hAnsi="Arial" w:cs="Arial"/>
                <w:b/>
                <w:bCs/>
                <w:sz w:val="20"/>
                <w:szCs w:val="20"/>
              </w:rPr>
              <w:t>RU</w:t>
            </w:r>
          </w:p>
        </w:tc>
      </w:tr>
      <w:tr w:rsidR="00036604" w:rsidTr="00950E4F">
        <w:trPr>
          <w:trHeight w:val="282"/>
        </w:trPr>
        <w:tc>
          <w:tcPr>
            <w:tcW w:w="2140" w:type="dxa"/>
            <w:tcBorders>
              <w:top w:val="nil"/>
              <w:left w:val="single" w:sz="4" w:space="0" w:color="auto"/>
              <w:bottom w:val="nil"/>
              <w:right w:val="nil"/>
            </w:tcBorders>
            <w:noWrap/>
            <w:vAlign w:val="bottom"/>
          </w:tcPr>
          <w:p w:rsidR="00036604" w:rsidRDefault="00036604">
            <w:pPr>
              <w:rPr>
                <w:rFonts w:ascii="Arial" w:hAnsi="Arial" w:cs="Arial"/>
                <w:sz w:val="20"/>
                <w:szCs w:val="20"/>
              </w:rPr>
            </w:pPr>
            <w:r>
              <w:rPr>
                <w:rFonts w:ascii="Arial" w:hAnsi="Arial" w:cs="Arial"/>
                <w:sz w:val="20"/>
                <w:szCs w:val="20"/>
              </w:rPr>
              <w:t>Příjmy daňové</w:t>
            </w:r>
          </w:p>
        </w:tc>
        <w:tc>
          <w:tcPr>
            <w:tcW w:w="1419" w:type="dxa"/>
            <w:tcBorders>
              <w:top w:val="nil"/>
              <w:left w:val="single" w:sz="8" w:space="0" w:color="auto"/>
              <w:bottom w:val="nil"/>
              <w:right w:val="nil"/>
            </w:tcBorders>
            <w:noWrap/>
            <w:vAlign w:val="bottom"/>
          </w:tcPr>
          <w:p w:rsidR="00036604" w:rsidRDefault="00036604">
            <w:pPr>
              <w:jc w:val="right"/>
              <w:rPr>
                <w:rFonts w:ascii="Arial" w:hAnsi="Arial" w:cs="Arial"/>
                <w:sz w:val="18"/>
                <w:szCs w:val="18"/>
              </w:rPr>
            </w:pPr>
            <w:r>
              <w:rPr>
                <w:rFonts w:ascii="Arial" w:hAnsi="Arial" w:cs="Arial"/>
                <w:sz w:val="18"/>
                <w:szCs w:val="18"/>
              </w:rPr>
              <w:t>1 272 581,8</w:t>
            </w:r>
          </w:p>
        </w:tc>
        <w:tc>
          <w:tcPr>
            <w:tcW w:w="1418"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1 278 820,3</w:t>
            </w:r>
          </w:p>
        </w:tc>
        <w:tc>
          <w:tcPr>
            <w:tcW w:w="850" w:type="dxa"/>
            <w:tcBorders>
              <w:top w:val="nil"/>
              <w:left w:val="nil"/>
              <w:bottom w:val="nil"/>
              <w:right w:val="nil"/>
            </w:tcBorders>
            <w:noWrap/>
            <w:vAlign w:val="bottom"/>
          </w:tcPr>
          <w:p w:rsidR="00036604" w:rsidRDefault="00036604">
            <w:pPr>
              <w:jc w:val="right"/>
              <w:rPr>
                <w:rFonts w:ascii="Arial" w:hAnsi="Arial" w:cs="Arial"/>
                <w:sz w:val="20"/>
                <w:szCs w:val="20"/>
              </w:rPr>
            </w:pPr>
            <w:r>
              <w:rPr>
                <w:rFonts w:ascii="Arial" w:hAnsi="Arial" w:cs="Arial"/>
                <w:sz w:val="20"/>
                <w:szCs w:val="20"/>
              </w:rPr>
              <w:t>8,99</w:t>
            </w:r>
          </w:p>
        </w:tc>
        <w:tc>
          <w:tcPr>
            <w:tcW w:w="1276"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3 549,4</w:t>
            </w:r>
          </w:p>
        </w:tc>
        <w:tc>
          <w:tcPr>
            <w:tcW w:w="138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1 370 685,6</w:t>
            </w:r>
          </w:p>
        </w:tc>
        <w:tc>
          <w:tcPr>
            <w:tcW w:w="1022" w:type="dxa"/>
            <w:tcBorders>
              <w:top w:val="nil"/>
              <w:left w:val="nil"/>
              <w:bottom w:val="nil"/>
              <w:right w:val="single" w:sz="8" w:space="0" w:color="auto"/>
            </w:tcBorders>
            <w:noWrap/>
            <w:vAlign w:val="bottom"/>
          </w:tcPr>
          <w:p w:rsidR="00036604" w:rsidRDefault="00036604">
            <w:pPr>
              <w:jc w:val="right"/>
              <w:rPr>
                <w:rFonts w:ascii="Arial" w:hAnsi="Arial" w:cs="Arial"/>
                <w:sz w:val="20"/>
                <w:szCs w:val="20"/>
              </w:rPr>
            </w:pPr>
            <w:r>
              <w:rPr>
                <w:rFonts w:ascii="Arial" w:hAnsi="Arial" w:cs="Arial"/>
                <w:sz w:val="20"/>
                <w:szCs w:val="20"/>
              </w:rPr>
              <w:t>107,18</w:t>
            </w:r>
          </w:p>
        </w:tc>
      </w:tr>
      <w:tr w:rsidR="00036604" w:rsidTr="00950E4F">
        <w:trPr>
          <w:trHeight w:val="282"/>
        </w:trPr>
        <w:tc>
          <w:tcPr>
            <w:tcW w:w="2140" w:type="dxa"/>
            <w:tcBorders>
              <w:top w:val="nil"/>
              <w:left w:val="single" w:sz="4" w:space="0" w:color="auto"/>
              <w:bottom w:val="nil"/>
              <w:right w:val="nil"/>
            </w:tcBorders>
            <w:noWrap/>
            <w:vAlign w:val="bottom"/>
          </w:tcPr>
          <w:p w:rsidR="00036604" w:rsidRDefault="00036604">
            <w:pPr>
              <w:rPr>
                <w:rFonts w:ascii="Arial" w:hAnsi="Arial" w:cs="Arial"/>
                <w:sz w:val="20"/>
                <w:szCs w:val="20"/>
              </w:rPr>
            </w:pPr>
            <w:r>
              <w:rPr>
                <w:rFonts w:ascii="Arial" w:hAnsi="Arial" w:cs="Arial"/>
                <w:sz w:val="20"/>
                <w:szCs w:val="20"/>
              </w:rPr>
              <w:t>Příjmy nedaňové</w:t>
            </w:r>
          </w:p>
        </w:tc>
        <w:tc>
          <w:tcPr>
            <w:tcW w:w="1419"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154 223,2</w:t>
            </w:r>
          </w:p>
        </w:tc>
        <w:tc>
          <w:tcPr>
            <w:tcW w:w="141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279 274,9</w:t>
            </w:r>
          </w:p>
        </w:tc>
        <w:tc>
          <w:tcPr>
            <w:tcW w:w="850" w:type="dxa"/>
            <w:tcBorders>
              <w:top w:val="nil"/>
              <w:left w:val="nil"/>
              <w:bottom w:val="nil"/>
              <w:right w:val="nil"/>
            </w:tcBorders>
            <w:noWrap/>
            <w:vAlign w:val="bottom"/>
          </w:tcPr>
          <w:p w:rsidR="00036604" w:rsidRDefault="00036604">
            <w:pPr>
              <w:jc w:val="right"/>
              <w:rPr>
                <w:rFonts w:ascii="Arial" w:hAnsi="Arial" w:cs="Arial"/>
                <w:sz w:val="20"/>
                <w:szCs w:val="20"/>
              </w:rPr>
            </w:pPr>
            <w:r>
              <w:rPr>
                <w:rFonts w:ascii="Arial" w:hAnsi="Arial" w:cs="Arial"/>
                <w:sz w:val="20"/>
                <w:szCs w:val="20"/>
              </w:rPr>
              <w:t>1,96</w:t>
            </w:r>
          </w:p>
        </w:tc>
        <w:tc>
          <w:tcPr>
            <w:tcW w:w="1276"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20 216,1</w:t>
            </w:r>
          </w:p>
        </w:tc>
        <w:tc>
          <w:tcPr>
            <w:tcW w:w="138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333 662,1</w:t>
            </w:r>
          </w:p>
        </w:tc>
        <w:tc>
          <w:tcPr>
            <w:tcW w:w="1022" w:type="dxa"/>
            <w:tcBorders>
              <w:top w:val="nil"/>
              <w:left w:val="nil"/>
              <w:bottom w:val="nil"/>
              <w:right w:val="single" w:sz="8" w:space="0" w:color="auto"/>
            </w:tcBorders>
            <w:noWrap/>
            <w:vAlign w:val="bottom"/>
          </w:tcPr>
          <w:p w:rsidR="00036604" w:rsidRDefault="00036604">
            <w:pPr>
              <w:jc w:val="right"/>
              <w:rPr>
                <w:rFonts w:ascii="Arial" w:hAnsi="Arial" w:cs="Arial"/>
                <w:sz w:val="20"/>
                <w:szCs w:val="20"/>
              </w:rPr>
            </w:pPr>
            <w:r>
              <w:rPr>
                <w:rFonts w:ascii="Arial" w:hAnsi="Arial" w:cs="Arial"/>
                <w:sz w:val="20"/>
                <w:szCs w:val="20"/>
              </w:rPr>
              <w:t>119,47</w:t>
            </w:r>
          </w:p>
        </w:tc>
      </w:tr>
      <w:tr w:rsidR="00036604" w:rsidTr="00950E4F">
        <w:trPr>
          <w:trHeight w:val="282"/>
        </w:trPr>
        <w:tc>
          <w:tcPr>
            <w:tcW w:w="2140" w:type="dxa"/>
            <w:tcBorders>
              <w:top w:val="nil"/>
              <w:left w:val="single" w:sz="4" w:space="0" w:color="auto"/>
              <w:bottom w:val="nil"/>
              <w:right w:val="nil"/>
            </w:tcBorders>
            <w:noWrap/>
            <w:vAlign w:val="bottom"/>
          </w:tcPr>
          <w:p w:rsidR="00036604" w:rsidRDefault="00036604">
            <w:pPr>
              <w:rPr>
                <w:rFonts w:ascii="Arial" w:hAnsi="Arial" w:cs="Arial"/>
                <w:sz w:val="20"/>
                <w:szCs w:val="20"/>
              </w:rPr>
            </w:pPr>
            <w:r>
              <w:rPr>
                <w:rFonts w:ascii="Arial" w:hAnsi="Arial" w:cs="Arial"/>
                <w:sz w:val="20"/>
                <w:szCs w:val="20"/>
              </w:rPr>
              <w:t>Příjmy kapitálové</w:t>
            </w:r>
          </w:p>
        </w:tc>
        <w:tc>
          <w:tcPr>
            <w:tcW w:w="1419"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4 215,0</w:t>
            </w:r>
          </w:p>
        </w:tc>
        <w:tc>
          <w:tcPr>
            <w:tcW w:w="141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31 720,3</w:t>
            </w:r>
          </w:p>
        </w:tc>
        <w:tc>
          <w:tcPr>
            <w:tcW w:w="850" w:type="dxa"/>
            <w:tcBorders>
              <w:top w:val="nil"/>
              <w:left w:val="nil"/>
              <w:bottom w:val="nil"/>
              <w:right w:val="nil"/>
            </w:tcBorders>
            <w:noWrap/>
            <w:vAlign w:val="bottom"/>
          </w:tcPr>
          <w:p w:rsidR="00036604" w:rsidRDefault="00036604">
            <w:pPr>
              <w:jc w:val="right"/>
              <w:rPr>
                <w:rFonts w:ascii="Arial" w:hAnsi="Arial" w:cs="Arial"/>
                <w:sz w:val="20"/>
                <w:szCs w:val="20"/>
              </w:rPr>
            </w:pPr>
            <w:r>
              <w:rPr>
                <w:rFonts w:ascii="Arial" w:hAnsi="Arial" w:cs="Arial"/>
                <w:sz w:val="20"/>
                <w:szCs w:val="20"/>
              </w:rPr>
              <w:t>0,22</w:t>
            </w:r>
          </w:p>
        </w:tc>
        <w:tc>
          <w:tcPr>
            <w:tcW w:w="1276"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18 624,5</w:t>
            </w:r>
          </w:p>
        </w:tc>
        <w:tc>
          <w:tcPr>
            <w:tcW w:w="138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36 725,5</w:t>
            </w:r>
          </w:p>
        </w:tc>
        <w:tc>
          <w:tcPr>
            <w:tcW w:w="1022" w:type="dxa"/>
            <w:tcBorders>
              <w:top w:val="nil"/>
              <w:left w:val="nil"/>
              <w:bottom w:val="nil"/>
              <w:right w:val="single" w:sz="8" w:space="0" w:color="auto"/>
            </w:tcBorders>
            <w:noWrap/>
            <w:vAlign w:val="bottom"/>
          </w:tcPr>
          <w:p w:rsidR="00036604" w:rsidRDefault="00036604">
            <w:pPr>
              <w:jc w:val="right"/>
              <w:rPr>
                <w:rFonts w:ascii="Arial" w:hAnsi="Arial" w:cs="Arial"/>
                <w:sz w:val="20"/>
                <w:szCs w:val="20"/>
              </w:rPr>
            </w:pPr>
            <w:r>
              <w:rPr>
                <w:rFonts w:ascii="Arial" w:hAnsi="Arial" w:cs="Arial"/>
                <w:sz w:val="20"/>
                <w:szCs w:val="20"/>
              </w:rPr>
              <w:t>115,78</w:t>
            </w:r>
          </w:p>
        </w:tc>
      </w:tr>
      <w:tr w:rsidR="00036604" w:rsidTr="00950E4F">
        <w:trPr>
          <w:trHeight w:val="450"/>
        </w:trPr>
        <w:tc>
          <w:tcPr>
            <w:tcW w:w="2140" w:type="dxa"/>
            <w:tcBorders>
              <w:top w:val="single" w:sz="4" w:space="0" w:color="auto"/>
              <w:left w:val="single" w:sz="4" w:space="0" w:color="auto"/>
              <w:bottom w:val="single" w:sz="4" w:space="0" w:color="auto"/>
              <w:right w:val="nil"/>
            </w:tcBorders>
            <w:noWrap/>
            <w:vAlign w:val="bottom"/>
          </w:tcPr>
          <w:p w:rsidR="00036604" w:rsidRDefault="00036604">
            <w:pPr>
              <w:rPr>
                <w:rFonts w:ascii="Arial" w:hAnsi="Arial" w:cs="Arial"/>
                <w:b/>
                <w:bCs/>
                <w:i/>
                <w:iCs/>
                <w:sz w:val="20"/>
                <w:szCs w:val="20"/>
              </w:rPr>
            </w:pPr>
            <w:r>
              <w:rPr>
                <w:rFonts w:ascii="Arial" w:hAnsi="Arial" w:cs="Arial"/>
                <w:b/>
                <w:bCs/>
                <w:i/>
                <w:iCs/>
                <w:sz w:val="20"/>
                <w:szCs w:val="20"/>
              </w:rPr>
              <w:t>Celkem vlastní příjmy</w:t>
            </w:r>
          </w:p>
        </w:tc>
        <w:tc>
          <w:tcPr>
            <w:tcW w:w="1419" w:type="dxa"/>
            <w:tcBorders>
              <w:top w:val="single" w:sz="4" w:space="0" w:color="auto"/>
              <w:left w:val="single" w:sz="8" w:space="0" w:color="auto"/>
              <w:bottom w:val="single" w:sz="4" w:space="0" w:color="auto"/>
              <w:right w:val="single" w:sz="8" w:space="0" w:color="auto"/>
            </w:tcBorders>
            <w:noWrap/>
            <w:vAlign w:val="bottom"/>
          </w:tcPr>
          <w:p w:rsidR="00036604" w:rsidRDefault="00036604">
            <w:pPr>
              <w:jc w:val="right"/>
              <w:rPr>
                <w:rFonts w:ascii="Arial" w:hAnsi="Arial" w:cs="Arial"/>
                <w:b/>
                <w:bCs/>
                <w:i/>
                <w:iCs/>
                <w:sz w:val="18"/>
                <w:szCs w:val="18"/>
              </w:rPr>
            </w:pPr>
            <w:r>
              <w:rPr>
                <w:rFonts w:ascii="Arial" w:hAnsi="Arial" w:cs="Arial"/>
                <w:b/>
                <w:bCs/>
                <w:i/>
                <w:iCs/>
                <w:sz w:val="18"/>
                <w:szCs w:val="18"/>
              </w:rPr>
              <w:t>1 431 020,0</w:t>
            </w:r>
          </w:p>
        </w:tc>
        <w:tc>
          <w:tcPr>
            <w:tcW w:w="1418"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i/>
                <w:iCs/>
                <w:sz w:val="18"/>
                <w:szCs w:val="18"/>
              </w:rPr>
            </w:pPr>
            <w:r>
              <w:rPr>
                <w:rFonts w:ascii="Arial" w:hAnsi="Arial" w:cs="Arial"/>
                <w:b/>
                <w:bCs/>
                <w:i/>
                <w:iCs/>
                <w:sz w:val="18"/>
                <w:szCs w:val="18"/>
              </w:rPr>
              <w:t>1 589 815,5</w:t>
            </w:r>
          </w:p>
        </w:tc>
        <w:tc>
          <w:tcPr>
            <w:tcW w:w="850"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i/>
                <w:iCs/>
                <w:sz w:val="20"/>
                <w:szCs w:val="20"/>
              </w:rPr>
            </w:pPr>
            <w:r>
              <w:rPr>
                <w:rFonts w:ascii="Arial" w:hAnsi="Arial" w:cs="Arial"/>
                <w:b/>
                <w:bCs/>
                <w:i/>
                <w:iCs/>
                <w:sz w:val="20"/>
                <w:szCs w:val="20"/>
              </w:rPr>
              <w:t>11,18</w:t>
            </w:r>
          </w:p>
        </w:tc>
        <w:tc>
          <w:tcPr>
            <w:tcW w:w="1276"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i/>
                <w:iCs/>
                <w:sz w:val="18"/>
                <w:szCs w:val="18"/>
              </w:rPr>
            </w:pPr>
            <w:r>
              <w:rPr>
                <w:rFonts w:ascii="Arial" w:hAnsi="Arial" w:cs="Arial"/>
                <w:b/>
                <w:bCs/>
                <w:i/>
                <w:iCs/>
                <w:sz w:val="18"/>
                <w:szCs w:val="18"/>
              </w:rPr>
              <w:t>42 390,0</w:t>
            </w:r>
          </w:p>
        </w:tc>
        <w:tc>
          <w:tcPr>
            <w:tcW w:w="1388"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i/>
                <w:iCs/>
                <w:sz w:val="18"/>
                <w:szCs w:val="18"/>
              </w:rPr>
            </w:pPr>
            <w:r>
              <w:rPr>
                <w:rFonts w:ascii="Arial" w:hAnsi="Arial" w:cs="Arial"/>
                <w:b/>
                <w:bCs/>
                <w:i/>
                <w:iCs/>
                <w:sz w:val="18"/>
                <w:szCs w:val="18"/>
              </w:rPr>
              <w:t>1 741 073,2</w:t>
            </w:r>
          </w:p>
        </w:tc>
        <w:tc>
          <w:tcPr>
            <w:tcW w:w="1022"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i/>
                <w:iCs/>
                <w:sz w:val="20"/>
                <w:szCs w:val="20"/>
              </w:rPr>
            </w:pPr>
            <w:r>
              <w:rPr>
                <w:rFonts w:ascii="Arial" w:hAnsi="Arial" w:cs="Arial"/>
                <w:b/>
                <w:bCs/>
                <w:i/>
                <w:iCs/>
                <w:sz w:val="20"/>
                <w:szCs w:val="20"/>
              </w:rPr>
              <w:t>109,51</w:t>
            </w:r>
          </w:p>
        </w:tc>
      </w:tr>
      <w:tr w:rsidR="00036604" w:rsidTr="00950E4F">
        <w:trPr>
          <w:trHeight w:val="315"/>
        </w:trPr>
        <w:tc>
          <w:tcPr>
            <w:tcW w:w="2140" w:type="dxa"/>
            <w:tcBorders>
              <w:top w:val="nil"/>
              <w:left w:val="single" w:sz="4" w:space="0" w:color="auto"/>
              <w:bottom w:val="nil"/>
              <w:right w:val="nil"/>
            </w:tcBorders>
            <w:noWrap/>
            <w:vAlign w:val="bottom"/>
          </w:tcPr>
          <w:p w:rsidR="00036604" w:rsidRDefault="00036604">
            <w:pPr>
              <w:rPr>
                <w:rFonts w:ascii="Arial" w:hAnsi="Arial" w:cs="Arial"/>
                <w:sz w:val="20"/>
                <w:szCs w:val="20"/>
              </w:rPr>
            </w:pPr>
            <w:r>
              <w:rPr>
                <w:rFonts w:ascii="Arial" w:hAnsi="Arial" w:cs="Arial"/>
                <w:sz w:val="20"/>
                <w:szCs w:val="20"/>
              </w:rPr>
              <w:t>Přijaté transfery</w:t>
            </w:r>
          </w:p>
        </w:tc>
        <w:tc>
          <w:tcPr>
            <w:tcW w:w="1419"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9 371 323,8</w:t>
            </w:r>
          </w:p>
        </w:tc>
        <w:tc>
          <w:tcPr>
            <w:tcW w:w="141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12 632 719,8</w:t>
            </w:r>
          </w:p>
        </w:tc>
        <w:tc>
          <w:tcPr>
            <w:tcW w:w="850" w:type="dxa"/>
            <w:tcBorders>
              <w:top w:val="nil"/>
              <w:left w:val="nil"/>
              <w:bottom w:val="nil"/>
              <w:right w:val="nil"/>
            </w:tcBorders>
            <w:noWrap/>
            <w:vAlign w:val="bottom"/>
          </w:tcPr>
          <w:p w:rsidR="00036604" w:rsidRDefault="00036604">
            <w:pPr>
              <w:jc w:val="right"/>
              <w:rPr>
                <w:rFonts w:ascii="Arial" w:hAnsi="Arial" w:cs="Arial"/>
                <w:sz w:val="20"/>
                <w:szCs w:val="20"/>
              </w:rPr>
            </w:pPr>
            <w:r>
              <w:rPr>
                <w:rFonts w:ascii="Arial" w:hAnsi="Arial" w:cs="Arial"/>
                <w:sz w:val="20"/>
                <w:szCs w:val="20"/>
              </w:rPr>
              <w:t>88,82</w:t>
            </w:r>
          </w:p>
        </w:tc>
        <w:tc>
          <w:tcPr>
            <w:tcW w:w="1276" w:type="dxa"/>
            <w:tcBorders>
              <w:top w:val="nil"/>
              <w:left w:val="single" w:sz="8" w:space="0" w:color="auto"/>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1 006 609,6</w:t>
            </w:r>
          </w:p>
        </w:tc>
        <w:tc>
          <w:tcPr>
            <w:tcW w:w="1388" w:type="dxa"/>
            <w:tcBorders>
              <w:top w:val="nil"/>
              <w:left w:val="nil"/>
              <w:bottom w:val="nil"/>
              <w:right w:val="single" w:sz="8" w:space="0" w:color="auto"/>
            </w:tcBorders>
            <w:noWrap/>
            <w:vAlign w:val="bottom"/>
          </w:tcPr>
          <w:p w:rsidR="00036604" w:rsidRDefault="00036604">
            <w:pPr>
              <w:jc w:val="right"/>
              <w:rPr>
                <w:rFonts w:ascii="Arial" w:hAnsi="Arial" w:cs="Arial"/>
                <w:sz w:val="18"/>
                <w:szCs w:val="18"/>
              </w:rPr>
            </w:pPr>
            <w:r>
              <w:rPr>
                <w:rFonts w:ascii="Arial" w:hAnsi="Arial" w:cs="Arial"/>
                <w:sz w:val="18"/>
                <w:szCs w:val="18"/>
              </w:rPr>
              <w:t>10 671 781,1</w:t>
            </w:r>
          </w:p>
        </w:tc>
        <w:tc>
          <w:tcPr>
            <w:tcW w:w="1022" w:type="dxa"/>
            <w:tcBorders>
              <w:top w:val="nil"/>
              <w:left w:val="nil"/>
              <w:bottom w:val="nil"/>
              <w:right w:val="single" w:sz="8" w:space="0" w:color="auto"/>
            </w:tcBorders>
            <w:noWrap/>
            <w:vAlign w:val="bottom"/>
          </w:tcPr>
          <w:p w:rsidR="00036604" w:rsidRDefault="00036604">
            <w:pPr>
              <w:jc w:val="right"/>
              <w:rPr>
                <w:rFonts w:ascii="Arial" w:hAnsi="Arial" w:cs="Arial"/>
                <w:sz w:val="20"/>
                <w:szCs w:val="20"/>
              </w:rPr>
            </w:pPr>
            <w:r>
              <w:rPr>
                <w:rFonts w:ascii="Arial" w:hAnsi="Arial" w:cs="Arial"/>
                <w:sz w:val="20"/>
                <w:szCs w:val="20"/>
              </w:rPr>
              <w:t>84,48</w:t>
            </w:r>
          </w:p>
        </w:tc>
      </w:tr>
      <w:tr w:rsidR="00036604" w:rsidTr="00950E4F">
        <w:trPr>
          <w:trHeight w:val="480"/>
        </w:trPr>
        <w:tc>
          <w:tcPr>
            <w:tcW w:w="2140" w:type="dxa"/>
            <w:tcBorders>
              <w:top w:val="single" w:sz="8" w:space="0" w:color="auto"/>
              <w:left w:val="single" w:sz="4" w:space="0" w:color="auto"/>
              <w:bottom w:val="single" w:sz="8" w:space="0" w:color="auto"/>
              <w:right w:val="nil"/>
            </w:tcBorders>
            <w:shd w:val="clear" w:color="000000" w:fill="C0C0C0"/>
            <w:noWrap/>
            <w:vAlign w:val="bottom"/>
          </w:tcPr>
          <w:p w:rsidR="00036604" w:rsidRDefault="00036604">
            <w:pPr>
              <w:rPr>
                <w:rFonts w:ascii="Arial" w:hAnsi="Arial" w:cs="Arial"/>
                <w:b/>
                <w:bCs/>
                <w:sz w:val="20"/>
                <w:szCs w:val="20"/>
              </w:rPr>
            </w:pPr>
            <w:r>
              <w:rPr>
                <w:rFonts w:ascii="Arial" w:hAnsi="Arial" w:cs="Arial"/>
                <w:b/>
                <w:bCs/>
                <w:sz w:val="20"/>
                <w:szCs w:val="20"/>
              </w:rPr>
              <w:t>Celkem</w:t>
            </w:r>
          </w:p>
        </w:tc>
        <w:tc>
          <w:tcPr>
            <w:tcW w:w="1419" w:type="dxa"/>
            <w:tcBorders>
              <w:top w:val="single" w:sz="8" w:space="0" w:color="auto"/>
              <w:left w:val="single" w:sz="8" w:space="0" w:color="auto"/>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20"/>
                <w:szCs w:val="20"/>
              </w:rPr>
            </w:pPr>
            <w:r>
              <w:rPr>
                <w:rFonts w:ascii="Arial" w:hAnsi="Arial" w:cs="Arial"/>
                <w:b/>
                <w:bCs/>
                <w:sz w:val="20"/>
                <w:szCs w:val="20"/>
              </w:rPr>
              <w:t>10 802 343,8</w:t>
            </w:r>
          </w:p>
        </w:tc>
        <w:tc>
          <w:tcPr>
            <w:tcW w:w="1418" w:type="dxa"/>
            <w:tcBorders>
              <w:top w:val="single" w:sz="8" w:space="0" w:color="auto"/>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20"/>
                <w:szCs w:val="20"/>
              </w:rPr>
            </w:pPr>
            <w:r>
              <w:rPr>
                <w:rFonts w:ascii="Arial" w:hAnsi="Arial" w:cs="Arial"/>
                <w:b/>
                <w:bCs/>
                <w:sz w:val="20"/>
                <w:szCs w:val="20"/>
              </w:rPr>
              <w:t>14 222 535,3</w:t>
            </w:r>
          </w:p>
        </w:tc>
        <w:tc>
          <w:tcPr>
            <w:tcW w:w="850" w:type="dxa"/>
            <w:tcBorders>
              <w:top w:val="single" w:sz="8" w:space="0" w:color="auto"/>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20"/>
                <w:szCs w:val="20"/>
              </w:rPr>
            </w:pPr>
            <w:r>
              <w:rPr>
                <w:rFonts w:ascii="Arial" w:hAnsi="Arial" w:cs="Arial"/>
                <w:b/>
                <w:bCs/>
                <w:sz w:val="20"/>
                <w:szCs w:val="20"/>
              </w:rPr>
              <w:t>100,0</w:t>
            </w:r>
          </w:p>
        </w:tc>
        <w:tc>
          <w:tcPr>
            <w:tcW w:w="1276" w:type="dxa"/>
            <w:tcBorders>
              <w:top w:val="single" w:sz="8" w:space="0" w:color="auto"/>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20"/>
                <w:szCs w:val="20"/>
              </w:rPr>
            </w:pPr>
            <w:r>
              <w:rPr>
                <w:rFonts w:ascii="Arial" w:hAnsi="Arial" w:cs="Arial"/>
                <w:b/>
                <w:bCs/>
                <w:sz w:val="20"/>
                <w:szCs w:val="20"/>
              </w:rPr>
              <w:t>1 048 999,6</w:t>
            </w:r>
          </w:p>
        </w:tc>
        <w:tc>
          <w:tcPr>
            <w:tcW w:w="1388" w:type="dxa"/>
            <w:tcBorders>
              <w:top w:val="single" w:sz="8" w:space="0" w:color="auto"/>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20"/>
                <w:szCs w:val="20"/>
              </w:rPr>
            </w:pPr>
            <w:r>
              <w:rPr>
                <w:rFonts w:ascii="Arial" w:hAnsi="Arial" w:cs="Arial"/>
                <w:b/>
                <w:bCs/>
                <w:sz w:val="20"/>
                <w:szCs w:val="20"/>
              </w:rPr>
              <w:t>12 412 854,3</w:t>
            </w:r>
          </w:p>
        </w:tc>
        <w:tc>
          <w:tcPr>
            <w:tcW w:w="1022" w:type="dxa"/>
            <w:tcBorders>
              <w:top w:val="single" w:sz="8" w:space="0" w:color="auto"/>
              <w:left w:val="nil"/>
              <w:bottom w:val="single" w:sz="8" w:space="0" w:color="auto"/>
              <w:right w:val="single" w:sz="8" w:space="0" w:color="auto"/>
            </w:tcBorders>
            <w:shd w:val="clear" w:color="000000" w:fill="BFBFBF"/>
            <w:noWrap/>
            <w:vAlign w:val="bottom"/>
          </w:tcPr>
          <w:p w:rsidR="00036604" w:rsidRDefault="00036604">
            <w:pPr>
              <w:jc w:val="right"/>
              <w:rPr>
                <w:rFonts w:ascii="Arial" w:hAnsi="Arial" w:cs="Arial"/>
                <w:b/>
                <w:bCs/>
                <w:sz w:val="20"/>
                <w:szCs w:val="20"/>
              </w:rPr>
            </w:pPr>
            <w:r>
              <w:rPr>
                <w:rFonts w:ascii="Arial" w:hAnsi="Arial" w:cs="Arial"/>
                <w:b/>
                <w:bCs/>
                <w:sz w:val="20"/>
                <w:szCs w:val="20"/>
              </w:rPr>
              <w:t>87,28</w:t>
            </w:r>
          </w:p>
        </w:tc>
      </w:tr>
    </w:tbl>
    <w:p w:rsidR="00036604" w:rsidRPr="00EC6FBD" w:rsidRDefault="00036604" w:rsidP="005161C0">
      <w:pPr>
        <w:jc w:val="both"/>
        <w:outlineLvl w:val="0"/>
      </w:pPr>
    </w:p>
    <w:p w:rsidR="00036604" w:rsidRPr="00803114" w:rsidRDefault="00036604">
      <w:pPr>
        <w:jc w:val="both"/>
        <w:rPr>
          <w:highlight w:val="cyan"/>
        </w:rPr>
      </w:pPr>
    </w:p>
    <w:p w:rsidR="00036604" w:rsidRPr="00803114" w:rsidRDefault="00036604">
      <w:pPr>
        <w:jc w:val="both"/>
        <w:rPr>
          <w:highlight w:val="cyan"/>
        </w:rPr>
      </w:pPr>
    </w:p>
    <w:p w:rsidR="00036604" w:rsidRPr="00803114" w:rsidRDefault="00036604">
      <w:pPr>
        <w:jc w:val="both"/>
        <w:rPr>
          <w:highlight w:val="cyan"/>
        </w:rPr>
      </w:pPr>
    </w:p>
    <w:p w:rsidR="00036604" w:rsidRPr="00EC6FBD" w:rsidRDefault="00036604" w:rsidP="00950E4F">
      <w:pPr>
        <w:jc w:val="center"/>
        <w:outlineLvl w:val="0"/>
      </w:pPr>
      <w:r w:rsidRPr="008B55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429pt;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">
            <v:imagedata r:id="rId7" o:title="" cropbottom="-67f"/>
            <o:lock v:ext="edit" aspectratio="f"/>
          </v:shape>
        </w:pict>
      </w:r>
    </w:p>
    <w:p w:rsidR="00036604" w:rsidRPr="00803114" w:rsidRDefault="00036604">
      <w:pPr>
        <w:rPr>
          <w:highlight w:val="cyan"/>
        </w:rPr>
      </w:pPr>
    </w:p>
    <w:p w:rsidR="00036604" w:rsidRPr="00803114" w:rsidRDefault="00036604">
      <w:pPr>
        <w:rPr>
          <w:highlight w:val="cyan"/>
        </w:rPr>
      </w:pPr>
    </w:p>
    <w:p w:rsidR="00036604" w:rsidRPr="00803114" w:rsidRDefault="00036604">
      <w:pPr>
        <w:rPr>
          <w:highlight w:val="cyan"/>
        </w:rPr>
      </w:pPr>
    </w:p>
    <w:p w:rsidR="00036604" w:rsidRPr="00803114" w:rsidRDefault="00036604">
      <w:pPr>
        <w:rPr>
          <w:highlight w:val="cyan"/>
        </w:rPr>
      </w:pPr>
    </w:p>
    <w:p w:rsidR="00036604" w:rsidRPr="00803114" w:rsidRDefault="00036604">
      <w:pPr>
        <w:rPr>
          <w:highlight w:val="cyan"/>
        </w:rPr>
      </w:pPr>
    </w:p>
    <w:p w:rsidR="00036604" w:rsidRDefault="00036604" w:rsidP="005161C0">
      <w:pPr>
        <w:outlineLvl w:val="0"/>
      </w:pPr>
      <w:r w:rsidRPr="00635A83">
        <w:rPr>
          <w:b/>
          <w:bCs/>
        </w:rPr>
        <w:t>2.1.</w:t>
      </w:r>
      <w:r w:rsidRPr="00964EB4">
        <w:rPr>
          <w:b/>
          <w:bCs/>
          <w:u w:val="single"/>
        </w:rPr>
        <w:t xml:space="preserve"> Daňové příjmy</w:t>
      </w:r>
      <w:r>
        <w:t xml:space="preserve">  </w:t>
      </w:r>
    </w:p>
    <w:p w:rsidR="00036604" w:rsidRDefault="00036604">
      <w:pPr>
        <w:jc w:val="both"/>
      </w:pPr>
    </w:p>
    <w:p w:rsidR="00036604" w:rsidRDefault="00036604" w:rsidP="00536C7D">
      <w:pPr>
        <w:jc w:val="both"/>
      </w:pPr>
      <w:r>
        <w:t xml:space="preserve">Daňové příjmy k  31. 12. 2015 činí 1 370 685,6 tis. Kč a dosáhly 107,18 % RU.  </w:t>
      </w:r>
      <w:r w:rsidRPr="00407A56">
        <w:t>Plnění daňových příj</w:t>
      </w:r>
      <w:r>
        <w:t xml:space="preserve">mů u městských částí ovlivňuje </w:t>
      </w:r>
      <w:r w:rsidRPr="00407A56">
        <w:t xml:space="preserve">zejména plnění objemově </w:t>
      </w:r>
      <w:r>
        <w:t xml:space="preserve">nejvýznamnějších položek, a to </w:t>
      </w:r>
      <w:r w:rsidRPr="00407A56">
        <w:t>daně z nemovitostí, její</w:t>
      </w:r>
      <w:r>
        <w:t>ž inkaso ve sledovaném období činilo 800 207,4</w:t>
      </w:r>
      <w:r w:rsidRPr="00407A56">
        <w:t xml:space="preserve"> tis. Kč tj. </w:t>
      </w:r>
      <w:r>
        <w:t>104,85</w:t>
      </w:r>
      <w:r w:rsidRPr="00407A56">
        <w:t xml:space="preserve"> % RU</w:t>
      </w:r>
      <w:r>
        <w:t xml:space="preserve"> a </w:t>
      </w:r>
      <w:r w:rsidRPr="00407A56">
        <w:t>místních poplatků z vybraných činností a služeb, které dos</w:t>
      </w:r>
      <w:r>
        <w:t>áhly 397 281,2</w:t>
      </w:r>
      <w:r w:rsidRPr="00407A56">
        <w:t xml:space="preserve"> tis. Kč tj. </w:t>
      </w:r>
      <w:r>
        <w:t>114,85</w:t>
      </w:r>
      <w:r w:rsidRPr="00407A56">
        <w:t xml:space="preserve">  % RU</w:t>
      </w:r>
      <w:r>
        <w:t xml:space="preserve">. Inkaso správních poplatků je rovněž oproti upravenému rozpočtu vyšší, o 2,22 % a činí 173 191,7 tis. Kč. </w:t>
      </w:r>
    </w:p>
    <w:p w:rsidR="00036604" w:rsidRDefault="00036604">
      <w:pPr>
        <w:jc w:val="both"/>
      </w:pPr>
    </w:p>
    <w:p w:rsidR="00036604" w:rsidRPr="00803114" w:rsidRDefault="00036604">
      <w:pPr>
        <w:jc w:val="both"/>
        <w:rPr>
          <w:highlight w:val="cyan"/>
        </w:rPr>
      </w:pPr>
    </w:p>
    <w:p w:rsidR="00036604" w:rsidRDefault="00036604" w:rsidP="00475993">
      <w:pPr>
        <w:outlineLvl w:val="0"/>
      </w:pPr>
      <w:r w:rsidRPr="00635A83">
        <w:rPr>
          <w:b/>
          <w:bCs/>
        </w:rPr>
        <w:t xml:space="preserve">2.2. </w:t>
      </w:r>
      <w:r w:rsidRPr="00AE34BA">
        <w:rPr>
          <w:b/>
          <w:bCs/>
          <w:u w:val="single"/>
        </w:rPr>
        <w:t>Nedaňové příjmy</w:t>
      </w:r>
      <w:r w:rsidRPr="009D7250">
        <w:t xml:space="preserve">  </w:t>
      </w:r>
    </w:p>
    <w:p w:rsidR="00036604" w:rsidRDefault="00036604" w:rsidP="00475993">
      <w:pPr>
        <w:outlineLvl w:val="0"/>
      </w:pPr>
    </w:p>
    <w:p w:rsidR="00036604" w:rsidRDefault="00036604" w:rsidP="00AC0737">
      <w:pPr>
        <w:jc w:val="both"/>
      </w:pPr>
      <w:r>
        <w:t xml:space="preserve">Nedaňové příjmy k 31. 12. 2015 činí 333 662,1 tis. Kč a byly plněny na 119,47 % RU. Vysoké plnění </w:t>
      </w:r>
      <w:r w:rsidRPr="009D7250">
        <w:t xml:space="preserve">nedaňových příjmů u městských částí je ovlivněno </w:t>
      </w:r>
      <w:r>
        <w:t xml:space="preserve">především vysokým plněním ostatních nedaňových příjmů, které v roce 2015 dosáhly 128 092,0 tis. Kč tj. 179,53 % RU a v jejich rámci pak vysokým plněním přijatých nekapitálových příspěvků a náhrad ve výši 49 362,8 tis. Kč (plnění na 449,10 % RU) a přijatých neinvestičních darů v objemu 41 116,1 tis. Kč (plnění na 119,12 % RU). </w:t>
      </w:r>
    </w:p>
    <w:p w:rsidR="00036604" w:rsidRDefault="00036604" w:rsidP="00AC0737">
      <w:pPr>
        <w:jc w:val="both"/>
      </w:pPr>
    </w:p>
    <w:p w:rsidR="00036604" w:rsidRDefault="00036604" w:rsidP="00AC0737">
      <w:pPr>
        <w:jc w:val="both"/>
      </w:pPr>
    </w:p>
    <w:p w:rsidR="00036604" w:rsidRPr="00E9504C" w:rsidRDefault="00036604" w:rsidP="00AC0737">
      <w:pPr>
        <w:jc w:val="both"/>
      </w:pPr>
      <w:r w:rsidRPr="00635A83">
        <w:rPr>
          <w:b/>
          <w:bCs/>
        </w:rPr>
        <w:t>2.3.</w:t>
      </w:r>
      <w:r w:rsidRPr="00635A83">
        <w:rPr>
          <w:b/>
          <w:bCs/>
          <w:u w:val="single"/>
        </w:rPr>
        <w:t xml:space="preserve"> Kapitálové příjmy</w:t>
      </w:r>
      <w:r w:rsidRPr="00E9504C">
        <w:t xml:space="preserve">  </w:t>
      </w:r>
    </w:p>
    <w:p w:rsidR="00036604" w:rsidRDefault="00036604" w:rsidP="00AC0737">
      <w:pPr>
        <w:jc w:val="both"/>
      </w:pPr>
    </w:p>
    <w:p w:rsidR="00036604" w:rsidRDefault="00036604" w:rsidP="00AC0737">
      <w:pPr>
        <w:jc w:val="both"/>
      </w:pPr>
      <w:r>
        <w:t xml:space="preserve">Kapitálové příjmy dosáhly k 31. 12. 2015 výše 36 725,5 tis. Kč a byly plněny na 115,78 % RU. </w:t>
      </w:r>
      <w:r w:rsidRPr="00E9504C">
        <w:t xml:space="preserve">Jedná </w:t>
      </w:r>
      <w:r>
        <w:t xml:space="preserve">se </w:t>
      </w:r>
      <w:r w:rsidRPr="00E9504C">
        <w:t>o objemově nevýznamné příjmy rozpočtově tvořící necelých 0,</w:t>
      </w:r>
      <w:r>
        <w:t>22</w:t>
      </w:r>
      <w:r w:rsidRPr="00E9504C">
        <w:t xml:space="preserve"> % příjmů (v RU) městských částí.  Jsou zde vykazovány </w:t>
      </w:r>
      <w:r>
        <w:t xml:space="preserve">dary od </w:t>
      </w:r>
      <w:r w:rsidRPr="00E9504C">
        <w:t>různých subjektů na financování investičních akcí</w:t>
      </w:r>
      <w:r>
        <w:t xml:space="preserve">.  Z celkového objemu kapitálových příjmů činí dary přijaté na pořízení dlouhodobého majetku 36 180,7 tis. Kč, z </w:t>
      </w:r>
      <w:r w:rsidRPr="005250DA">
        <w:t xml:space="preserve">nichž nejvýznamnější je dar </w:t>
      </w:r>
      <w:r>
        <w:t xml:space="preserve">MČ Praha 19 od Skanska </w:t>
      </w:r>
      <w:r w:rsidRPr="00CD5AD5">
        <w:t>reality</w:t>
      </w:r>
      <w:r>
        <w:t xml:space="preserve"> na stavbu ZŠ ve výši 5 000,0 tis. Kč, MČ Praha 18 od Ing. Jana Dvořáka</w:t>
      </w:r>
      <w:r w:rsidRPr="005250DA">
        <w:t xml:space="preserve"> </w:t>
      </w:r>
      <w:r>
        <w:t xml:space="preserve">ve výši 3 000,0 tis. Kč a od </w:t>
      </w:r>
      <w:r w:rsidRPr="005250DA">
        <w:t>firmy Central Group ve výši 2 </w:t>
      </w:r>
      <w:r>
        <w:t>500,0 tis. Kč na infrastrukturu a</w:t>
      </w:r>
      <w:r w:rsidRPr="005250DA">
        <w:t xml:space="preserve"> </w:t>
      </w:r>
      <w:r>
        <w:t>MČ Praha 13 od Luka Residential ve výši 1 512,5 tis. Kč na výstavbu parkovacích míst.</w:t>
      </w:r>
    </w:p>
    <w:p w:rsidR="00036604" w:rsidRDefault="00036604">
      <w:pPr>
        <w:jc w:val="both"/>
      </w:pPr>
    </w:p>
    <w:p w:rsidR="00036604" w:rsidRDefault="00036604">
      <w:pPr>
        <w:jc w:val="both"/>
      </w:pPr>
    </w:p>
    <w:p w:rsidR="00036604" w:rsidRDefault="00036604">
      <w:pPr>
        <w:jc w:val="both"/>
      </w:pPr>
      <w:r w:rsidRPr="00635A83">
        <w:rPr>
          <w:b/>
          <w:bCs/>
        </w:rPr>
        <w:t>2.4.</w:t>
      </w:r>
      <w:r w:rsidRPr="00635A83">
        <w:rPr>
          <w:b/>
          <w:bCs/>
          <w:u w:val="single"/>
        </w:rPr>
        <w:t xml:space="preserve"> Přijaté transfery</w:t>
      </w:r>
      <w:r>
        <w:t xml:space="preserve">  </w:t>
      </w:r>
    </w:p>
    <w:p w:rsidR="00036604" w:rsidRDefault="00036604" w:rsidP="00E83986">
      <w:pPr>
        <w:jc w:val="both"/>
      </w:pPr>
    </w:p>
    <w:p w:rsidR="00036604" w:rsidRDefault="00036604" w:rsidP="00E83986">
      <w:pPr>
        <w:jc w:val="both"/>
      </w:pPr>
      <w:r>
        <w:t>Objem přijatých transferů k 31. 12. 2015 činí 10 671 781,1 tis. Kč tj. 84,48 % RU. Základní přehled o výši přijatých transferů v členění dle poskytovatele a porovnání se skutečnostmi k 31. 12. 2014 uvádí následující tabulka:</w:t>
      </w:r>
    </w:p>
    <w:p w:rsidR="00036604" w:rsidRDefault="00036604">
      <w:pPr>
        <w:jc w:val="both"/>
      </w:pPr>
    </w:p>
    <w:tbl>
      <w:tblPr>
        <w:tblW w:w="9860" w:type="dxa"/>
        <w:tblInd w:w="55" w:type="dxa"/>
        <w:tblCellMar>
          <w:left w:w="70" w:type="dxa"/>
          <w:right w:w="70" w:type="dxa"/>
        </w:tblCellMar>
        <w:tblLook w:val="00A0"/>
      </w:tblPr>
      <w:tblGrid>
        <w:gridCol w:w="2900"/>
        <w:gridCol w:w="1240"/>
        <w:gridCol w:w="1220"/>
        <w:gridCol w:w="1220"/>
        <w:gridCol w:w="1300"/>
        <w:gridCol w:w="800"/>
        <w:gridCol w:w="1180"/>
      </w:tblGrid>
      <w:tr w:rsidR="00036604" w:rsidTr="006E55E3">
        <w:trPr>
          <w:trHeight w:val="240"/>
        </w:trPr>
        <w:tc>
          <w:tcPr>
            <w:tcW w:w="2900" w:type="dxa"/>
            <w:tcBorders>
              <w:top w:val="nil"/>
              <w:left w:val="nil"/>
              <w:bottom w:val="nil"/>
              <w:right w:val="nil"/>
            </w:tcBorders>
            <w:noWrap/>
            <w:vAlign w:val="bottom"/>
          </w:tcPr>
          <w:p w:rsidR="00036604" w:rsidRDefault="00036604">
            <w:pPr>
              <w:rPr>
                <w:rFonts w:ascii="Arial" w:hAnsi="Arial" w:cs="Arial"/>
                <w:sz w:val="16"/>
                <w:szCs w:val="16"/>
              </w:rPr>
            </w:pPr>
          </w:p>
        </w:tc>
        <w:tc>
          <w:tcPr>
            <w:tcW w:w="1240" w:type="dxa"/>
            <w:tcBorders>
              <w:top w:val="nil"/>
              <w:left w:val="nil"/>
              <w:bottom w:val="nil"/>
              <w:right w:val="nil"/>
            </w:tcBorders>
            <w:noWrap/>
            <w:vAlign w:val="bottom"/>
          </w:tcPr>
          <w:p w:rsidR="00036604" w:rsidRDefault="00036604">
            <w:pPr>
              <w:rPr>
                <w:rFonts w:ascii="Arial" w:hAnsi="Arial" w:cs="Arial"/>
                <w:sz w:val="16"/>
                <w:szCs w:val="16"/>
              </w:rPr>
            </w:pPr>
          </w:p>
        </w:tc>
        <w:tc>
          <w:tcPr>
            <w:tcW w:w="1220" w:type="dxa"/>
            <w:tcBorders>
              <w:top w:val="nil"/>
              <w:left w:val="nil"/>
              <w:bottom w:val="nil"/>
              <w:right w:val="nil"/>
            </w:tcBorders>
            <w:noWrap/>
            <w:vAlign w:val="bottom"/>
          </w:tcPr>
          <w:p w:rsidR="00036604" w:rsidRDefault="00036604">
            <w:pPr>
              <w:rPr>
                <w:rFonts w:ascii="Arial" w:hAnsi="Arial" w:cs="Arial"/>
                <w:sz w:val="16"/>
                <w:szCs w:val="16"/>
              </w:rPr>
            </w:pPr>
          </w:p>
        </w:tc>
        <w:tc>
          <w:tcPr>
            <w:tcW w:w="1220" w:type="dxa"/>
            <w:tcBorders>
              <w:top w:val="nil"/>
              <w:left w:val="nil"/>
              <w:bottom w:val="nil"/>
              <w:right w:val="nil"/>
            </w:tcBorders>
            <w:noWrap/>
            <w:vAlign w:val="bottom"/>
          </w:tcPr>
          <w:p w:rsidR="00036604" w:rsidRDefault="00036604">
            <w:pPr>
              <w:rPr>
                <w:rFonts w:ascii="Arial" w:hAnsi="Arial" w:cs="Arial"/>
                <w:sz w:val="16"/>
                <w:szCs w:val="16"/>
              </w:rPr>
            </w:pPr>
          </w:p>
        </w:tc>
        <w:tc>
          <w:tcPr>
            <w:tcW w:w="1300" w:type="dxa"/>
            <w:tcBorders>
              <w:top w:val="nil"/>
              <w:left w:val="nil"/>
              <w:bottom w:val="nil"/>
              <w:right w:val="nil"/>
            </w:tcBorders>
            <w:noWrap/>
            <w:vAlign w:val="bottom"/>
          </w:tcPr>
          <w:p w:rsidR="00036604" w:rsidRDefault="00036604">
            <w:pPr>
              <w:rPr>
                <w:rFonts w:ascii="Arial" w:hAnsi="Arial" w:cs="Arial"/>
                <w:sz w:val="16"/>
                <w:szCs w:val="16"/>
              </w:rPr>
            </w:pPr>
          </w:p>
        </w:tc>
        <w:tc>
          <w:tcPr>
            <w:tcW w:w="800" w:type="dxa"/>
            <w:tcBorders>
              <w:top w:val="nil"/>
              <w:left w:val="nil"/>
              <w:bottom w:val="nil"/>
              <w:right w:val="nil"/>
            </w:tcBorders>
            <w:noWrap/>
            <w:vAlign w:val="bottom"/>
          </w:tcPr>
          <w:p w:rsidR="00036604" w:rsidRDefault="00036604">
            <w:pPr>
              <w:rPr>
                <w:rFonts w:ascii="Arial" w:hAnsi="Arial" w:cs="Arial"/>
                <w:sz w:val="16"/>
                <w:szCs w:val="16"/>
              </w:rPr>
            </w:pPr>
          </w:p>
        </w:tc>
        <w:tc>
          <w:tcPr>
            <w:tcW w:w="1180" w:type="dxa"/>
            <w:tcBorders>
              <w:top w:val="nil"/>
              <w:left w:val="nil"/>
              <w:bottom w:val="nil"/>
              <w:right w:val="nil"/>
            </w:tcBorders>
            <w:noWrap/>
            <w:vAlign w:val="bottom"/>
          </w:tcPr>
          <w:p w:rsidR="00036604" w:rsidRDefault="00036604">
            <w:pPr>
              <w:jc w:val="right"/>
              <w:rPr>
                <w:rFonts w:ascii="Arial" w:hAnsi="Arial" w:cs="Arial"/>
                <w:sz w:val="16"/>
                <w:szCs w:val="16"/>
              </w:rPr>
            </w:pPr>
            <w:r>
              <w:rPr>
                <w:rFonts w:ascii="Arial" w:hAnsi="Arial" w:cs="Arial"/>
                <w:sz w:val="16"/>
                <w:szCs w:val="16"/>
              </w:rPr>
              <w:t>v tis. Kč</w:t>
            </w:r>
          </w:p>
        </w:tc>
      </w:tr>
      <w:tr w:rsidR="00036604" w:rsidTr="006E55E3">
        <w:trPr>
          <w:trHeight w:val="225"/>
        </w:trPr>
        <w:tc>
          <w:tcPr>
            <w:tcW w:w="2900" w:type="dxa"/>
            <w:tcBorders>
              <w:top w:val="single" w:sz="8" w:space="0" w:color="auto"/>
              <w:left w:val="single" w:sz="8" w:space="0" w:color="auto"/>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Transfery z rozpočtu</w:t>
            </w:r>
          </w:p>
        </w:tc>
        <w:tc>
          <w:tcPr>
            <w:tcW w:w="124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c>
          <w:tcPr>
            <w:tcW w:w="122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RS</w:t>
            </w:r>
          </w:p>
        </w:tc>
        <w:tc>
          <w:tcPr>
            <w:tcW w:w="122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RU</w:t>
            </w:r>
          </w:p>
        </w:tc>
        <w:tc>
          <w:tcPr>
            <w:tcW w:w="130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c>
          <w:tcPr>
            <w:tcW w:w="80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skut./RU</w:t>
            </w:r>
          </w:p>
        </w:tc>
        <w:tc>
          <w:tcPr>
            <w:tcW w:w="1180" w:type="dxa"/>
            <w:tcBorders>
              <w:top w:val="single" w:sz="8" w:space="0" w:color="auto"/>
              <w:left w:val="nil"/>
              <w:bottom w:val="nil"/>
              <w:right w:val="single" w:sz="8"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r>
      <w:tr w:rsidR="00036604" w:rsidTr="006E55E3">
        <w:trPr>
          <w:trHeight w:val="240"/>
        </w:trPr>
        <w:tc>
          <w:tcPr>
            <w:tcW w:w="2900" w:type="dxa"/>
            <w:tcBorders>
              <w:top w:val="nil"/>
              <w:left w:val="single" w:sz="8" w:space="0" w:color="auto"/>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HMP</w:t>
            </w:r>
          </w:p>
        </w:tc>
        <w:tc>
          <w:tcPr>
            <w:tcW w:w="124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k 31.12.2014</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w:t>
            </w:r>
          </w:p>
        </w:tc>
        <w:tc>
          <w:tcPr>
            <w:tcW w:w="130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k 31.12.2015</w:t>
            </w:r>
          </w:p>
        </w:tc>
        <w:tc>
          <w:tcPr>
            <w:tcW w:w="80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w:t>
            </w:r>
          </w:p>
        </w:tc>
        <w:tc>
          <w:tcPr>
            <w:tcW w:w="1180" w:type="dxa"/>
            <w:tcBorders>
              <w:top w:val="nil"/>
              <w:left w:val="nil"/>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2015-2014</w:t>
            </w:r>
          </w:p>
        </w:tc>
      </w:tr>
      <w:tr w:rsidR="00036604" w:rsidTr="006E55E3">
        <w:trPr>
          <w:trHeight w:val="28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4 930 830,40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3 550 152,20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5 144 930,20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5 139 075,61</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99,89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208 245,21</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sz w:val="16"/>
                <w:szCs w:val="16"/>
              </w:rPr>
            </w:pPr>
            <w:r>
              <w:rPr>
                <w:rFonts w:ascii="Arial" w:hAnsi="Arial" w:cs="Arial"/>
                <w:sz w:val="16"/>
                <w:szCs w:val="16"/>
              </w:rPr>
              <w:t>- souhrnný dotační vztah</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3 370 000,60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3 550 152,20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3 516 652,20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3 516 652,20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146 651,60</w:t>
            </w:r>
          </w:p>
        </w:tc>
      </w:tr>
      <w:tr w:rsidR="00036604" w:rsidTr="006E55E3">
        <w:trPr>
          <w:trHeight w:val="225"/>
        </w:trPr>
        <w:tc>
          <w:tcPr>
            <w:tcW w:w="2900" w:type="dxa"/>
            <w:tcBorders>
              <w:top w:val="nil"/>
              <w:left w:val="single" w:sz="8" w:space="0" w:color="auto"/>
              <w:bottom w:val="nil"/>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xml:space="preserve">       - účelové</w:t>
            </w:r>
          </w:p>
        </w:tc>
        <w:tc>
          <w:tcPr>
            <w:tcW w:w="1240" w:type="dxa"/>
            <w:tcBorders>
              <w:top w:val="nil"/>
              <w:left w:val="nil"/>
              <w:bottom w:val="nil"/>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512 282,60</w:t>
            </w:r>
          </w:p>
        </w:tc>
        <w:tc>
          <w:tcPr>
            <w:tcW w:w="1220" w:type="dxa"/>
            <w:tcBorders>
              <w:top w:val="nil"/>
              <w:left w:val="nil"/>
              <w:bottom w:val="nil"/>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nil"/>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540 280,10</w:t>
            </w:r>
          </w:p>
        </w:tc>
        <w:tc>
          <w:tcPr>
            <w:tcW w:w="1300" w:type="dxa"/>
            <w:tcBorders>
              <w:top w:val="nil"/>
              <w:left w:val="nil"/>
              <w:bottom w:val="nil"/>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534 778,22</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98,98</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22 495,62</w:t>
            </w:r>
          </w:p>
        </w:tc>
      </w:tr>
      <w:tr w:rsidR="00036604" w:rsidTr="006E55E3">
        <w:trPr>
          <w:trHeight w:val="450"/>
        </w:trPr>
        <w:tc>
          <w:tcPr>
            <w:tcW w:w="2900" w:type="dxa"/>
            <w:tcBorders>
              <w:top w:val="single" w:sz="4" w:space="0" w:color="auto"/>
              <w:left w:val="single" w:sz="8" w:space="0" w:color="auto"/>
              <w:bottom w:val="single" w:sz="4" w:space="0" w:color="auto"/>
              <w:right w:val="single" w:sz="4" w:space="0" w:color="auto"/>
            </w:tcBorders>
            <w:vAlign w:val="bottom"/>
          </w:tcPr>
          <w:p w:rsidR="00036604" w:rsidRDefault="00036604">
            <w:pPr>
              <w:jc w:val="center"/>
              <w:rPr>
                <w:rFonts w:ascii="Arial" w:hAnsi="Arial" w:cs="Arial"/>
                <w:sz w:val="16"/>
                <w:szCs w:val="16"/>
              </w:rPr>
            </w:pPr>
            <w:r>
              <w:rPr>
                <w:rFonts w:ascii="Arial" w:hAnsi="Arial" w:cs="Arial"/>
                <w:sz w:val="16"/>
                <w:szCs w:val="16"/>
              </w:rPr>
              <w:t xml:space="preserve">  - vratka podílu na daňové povinnosti HMP</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1 048 547,20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969 897,20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969 897,24</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-78 649,96</w:t>
            </w:r>
          </w:p>
        </w:tc>
      </w:tr>
      <w:tr w:rsidR="00036604" w:rsidTr="006E55E3">
        <w:trPr>
          <w:trHeight w:val="225"/>
        </w:trPr>
        <w:tc>
          <w:tcPr>
            <w:tcW w:w="2900" w:type="dxa"/>
            <w:tcBorders>
              <w:top w:val="nil"/>
              <w:left w:val="single" w:sz="8" w:space="0" w:color="auto"/>
              <w:bottom w:val="single" w:sz="4" w:space="0" w:color="auto"/>
              <w:right w:val="nil"/>
            </w:tcBorders>
            <w:vAlign w:val="bottom"/>
          </w:tcPr>
          <w:p w:rsidR="00036604" w:rsidRDefault="00036604">
            <w:pPr>
              <w:jc w:val="center"/>
              <w:rPr>
                <w:rFonts w:ascii="Arial" w:hAnsi="Arial" w:cs="Arial"/>
                <w:sz w:val="16"/>
                <w:szCs w:val="16"/>
              </w:rPr>
            </w:pPr>
            <w:r>
              <w:rPr>
                <w:rFonts w:ascii="Arial" w:hAnsi="Arial" w:cs="Arial"/>
                <w:sz w:val="16"/>
                <w:szCs w:val="16"/>
              </w:rPr>
              <w:t>- návratné finanční výpomoc</w:t>
            </w:r>
          </w:p>
        </w:tc>
        <w:tc>
          <w:tcPr>
            <w:tcW w:w="1240" w:type="dxa"/>
            <w:tcBorders>
              <w:top w:val="nil"/>
              <w:left w:val="single" w:sz="4" w:space="0" w:color="auto"/>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30 000,00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29 647,35</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98,82</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29 647,35</w:t>
            </w:r>
          </w:p>
        </w:tc>
      </w:tr>
      <w:tr w:rsidR="00036604" w:rsidTr="006E55E3">
        <w:trPr>
          <w:trHeight w:val="225"/>
        </w:trPr>
        <w:tc>
          <w:tcPr>
            <w:tcW w:w="2900" w:type="dxa"/>
            <w:tcBorders>
              <w:top w:val="nil"/>
              <w:left w:val="single" w:sz="8" w:space="0" w:color="auto"/>
              <w:bottom w:val="single" w:sz="4" w:space="0" w:color="auto"/>
              <w:right w:val="nil"/>
            </w:tcBorders>
            <w:vAlign w:val="bottom"/>
          </w:tcPr>
          <w:p w:rsidR="00036604" w:rsidRDefault="00036604">
            <w:pPr>
              <w:jc w:val="center"/>
              <w:rPr>
                <w:rFonts w:ascii="Arial" w:hAnsi="Arial" w:cs="Arial"/>
                <w:sz w:val="16"/>
                <w:szCs w:val="16"/>
              </w:rPr>
            </w:pPr>
            <w:r>
              <w:rPr>
                <w:rFonts w:ascii="Arial" w:hAnsi="Arial" w:cs="Arial"/>
                <w:sz w:val="16"/>
                <w:szCs w:val="16"/>
              </w:rPr>
              <w:t>-finanční vypořádání r. 2014</w:t>
            </w:r>
          </w:p>
        </w:tc>
        <w:tc>
          <w:tcPr>
            <w:tcW w:w="1240" w:type="dxa"/>
            <w:tcBorders>
              <w:top w:val="nil"/>
              <w:left w:val="nil"/>
              <w:bottom w:val="single" w:sz="4" w:space="0" w:color="auto"/>
              <w:right w:val="nil"/>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nil"/>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nil"/>
            </w:tcBorders>
            <w:noWrap/>
            <w:vAlign w:val="bottom"/>
          </w:tcPr>
          <w:p w:rsidR="00036604" w:rsidRDefault="00036604">
            <w:pPr>
              <w:jc w:val="right"/>
              <w:rPr>
                <w:rFonts w:ascii="Arial" w:hAnsi="Arial" w:cs="Arial"/>
                <w:sz w:val="16"/>
                <w:szCs w:val="16"/>
              </w:rPr>
            </w:pPr>
            <w:r>
              <w:rPr>
                <w:rFonts w:ascii="Arial" w:hAnsi="Arial" w:cs="Arial"/>
                <w:sz w:val="16"/>
                <w:szCs w:val="16"/>
              </w:rPr>
              <w:t>88 100,70</w:t>
            </w:r>
          </w:p>
        </w:tc>
        <w:tc>
          <w:tcPr>
            <w:tcW w:w="1300" w:type="dxa"/>
            <w:tcBorders>
              <w:top w:val="nil"/>
              <w:left w:val="nil"/>
              <w:bottom w:val="single" w:sz="4" w:space="0" w:color="auto"/>
              <w:right w:val="nil"/>
            </w:tcBorders>
            <w:noWrap/>
            <w:vAlign w:val="bottom"/>
          </w:tcPr>
          <w:p w:rsidR="00036604" w:rsidRDefault="00036604">
            <w:pPr>
              <w:jc w:val="right"/>
              <w:rPr>
                <w:rFonts w:ascii="Arial" w:hAnsi="Arial" w:cs="Arial"/>
                <w:sz w:val="16"/>
                <w:szCs w:val="16"/>
              </w:rPr>
            </w:pPr>
            <w:r>
              <w:rPr>
                <w:rFonts w:ascii="Arial" w:hAnsi="Arial" w:cs="Arial"/>
                <w:sz w:val="16"/>
                <w:szCs w:val="16"/>
              </w:rPr>
              <w:t>88 100,60</w:t>
            </w:r>
          </w:p>
        </w:tc>
        <w:tc>
          <w:tcPr>
            <w:tcW w:w="800" w:type="dxa"/>
            <w:tcBorders>
              <w:top w:val="nil"/>
              <w:left w:val="single" w:sz="4" w:space="0" w:color="auto"/>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88 100,60</w:t>
            </w:r>
          </w:p>
        </w:tc>
      </w:tr>
      <w:tr w:rsidR="00036604" w:rsidTr="006E55E3">
        <w:trPr>
          <w:trHeight w:val="225"/>
        </w:trPr>
        <w:tc>
          <w:tcPr>
            <w:tcW w:w="2900" w:type="dxa"/>
            <w:tcBorders>
              <w:top w:val="nil"/>
              <w:left w:val="single" w:sz="8" w:space="0" w:color="auto"/>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31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533 581,40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606 353,20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606 353,03</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72 771,63</w:t>
            </w:r>
          </w:p>
        </w:tc>
      </w:tr>
      <w:tr w:rsidR="00036604" w:rsidTr="006E55E3">
        <w:trPr>
          <w:trHeight w:val="330"/>
        </w:trPr>
        <w:tc>
          <w:tcPr>
            <w:tcW w:w="2900" w:type="dxa"/>
            <w:tcBorders>
              <w:top w:val="single" w:sz="8" w:space="0" w:color="auto"/>
              <w:left w:val="single" w:sz="8" w:space="0" w:color="auto"/>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Celkem</w:t>
            </w:r>
          </w:p>
        </w:tc>
        <w:tc>
          <w:tcPr>
            <w:tcW w:w="1240" w:type="dxa"/>
            <w:tcBorders>
              <w:top w:val="single" w:sz="8" w:space="0" w:color="auto"/>
              <w:left w:val="nil"/>
              <w:bottom w:val="single" w:sz="8" w:space="0" w:color="auto"/>
              <w:right w:val="nil"/>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5 464 411,80</w:t>
            </w:r>
          </w:p>
        </w:tc>
        <w:tc>
          <w:tcPr>
            <w:tcW w:w="1220" w:type="dxa"/>
            <w:tcBorders>
              <w:top w:val="single" w:sz="8" w:space="0" w:color="auto"/>
              <w:left w:val="single" w:sz="4" w:space="0" w:color="auto"/>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3 550 152,20</w:t>
            </w:r>
          </w:p>
        </w:tc>
        <w:tc>
          <w:tcPr>
            <w:tcW w:w="1220" w:type="dxa"/>
            <w:tcBorders>
              <w:top w:val="single" w:sz="8" w:space="0" w:color="auto"/>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5 751 283,40</w:t>
            </w:r>
          </w:p>
        </w:tc>
        <w:tc>
          <w:tcPr>
            <w:tcW w:w="1300" w:type="dxa"/>
            <w:tcBorders>
              <w:top w:val="single" w:sz="8" w:space="0" w:color="auto"/>
              <w:left w:val="nil"/>
              <w:bottom w:val="single" w:sz="8" w:space="0" w:color="auto"/>
              <w:right w:val="nil"/>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5 745 428,64</w:t>
            </w:r>
          </w:p>
        </w:tc>
        <w:tc>
          <w:tcPr>
            <w:tcW w:w="800" w:type="dxa"/>
            <w:tcBorders>
              <w:top w:val="single" w:sz="8" w:space="0" w:color="auto"/>
              <w:left w:val="single" w:sz="4" w:space="0" w:color="auto"/>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99,90</w:t>
            </w:r>
          </w:p>
        </w:tc>
        <w:tc>
          <w:tcPr>
            <w:tcW w:w="1180" w:type="dxa"/>
            <w:tcBorders>
              <w:top w:val="single" w:sz="8" w:space="0" w:color="auto"/>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281 016,84</w:t>
            </w:r>
          </w:p>
        </w:tc>
      </w:tr>
    </w:tbl>
    <w:p w:rsidR="00036604" w:rsidRDefault="00036604">
      <w:pPr>
        <w:jc w:val="both"/>
      </w:pPr>
    </w:p>
    <w:tbl>
      <w:tblPr>
        <w:tblW w:w="9860" w:type="dxa"/>
        <w:tblInd w:w="55" w:type="dxa"/>
        <w:tblCellMar>
          <w:left w:w="70" w:type="dxa"/>
          <w:right w:w="70" w:type="dxa"/>
        </w:tblCellMar>
        <w:tblLook w:val="00A0"/>
      </w:tblPr>
      <w:tblGrid>
        <w:gridCol w:w="2900"/>
        <w:gridCol w:w="1240"/>
        <w:gridCol w:w="1220"/>
        <w:gridCol w:w="1220"/>
        <w:gridCol w:w="1300"/>
        <w:gridCol w:w="800"/>
        <w:gridCol w:w="1180"/>
      </w:tblGrid>
      <w:tr w:rsidR="00036604" w:rsidTr="006E55E3">
        <w:trPr>
          <w:trHeight w:val="240"/>
        </w:trPr>
        <w:tc>
          <w:tcPr>
            <w:tcW w:w="2900" w:type="dxa"/>
            <w:tcBorders>
              <w:top w:val="nil"/>
              <w:left w:val="nil"/>
              <w:bottom w:val="nil"/>
              <w:right w:val="nil"/>
            </w:tcBorders>
            <w:noWrap/>
            <w:vAlign w:val="bottom"/>
          </w:tcPr>
          <w:p w:rsidR="00036604" w:rsidRDefault="00036604">
            <w:pPr>
              <w:rPr>
                <w:rFonts w:ascii="Arial" w:hAnsi="Arial" w:cs="Arial"/>
                <w:sz w:val="16"/>
                <w:szCs w:val="16"/>
              </w:rPr>
            </w:pPr>
          </w:p>
        </w:tc>
        <w:tc>
          <w:tcPr>
            <w:tcW w:w="1240" w:type="dxa"/>
            <w:tcBorders>
              <w:top w:val="nil"/>
              <w:left w:val="nil"/>
              <w:bottom w:val="nil"/>
              <w:right w:val="nil"/>
            </w:tcBorders>
            <w:noWrap/>
            <w:vAlign w:val="bottom"/>
          </w:tcPr>
          <w:p w:rsidR="00036604" w:rsidRDefault="00036604">
            <w:pPr>
              <w:rPr>
                <w:rFonts w:ascii="Arial" w:hAnsi="Arial" w:cs="Arial"/>
                <w:sz w:val="16"/>
                <w:szCs w:val="16"/>
              </w:rPr>
            </w:pPr>
          </w:p>
        </w:tc>
        <w:tc>
          <w:tcPr>
            <w:tcW w:w="1220" w:type="dxa"/>
            <w:tcBorders>
              <w:top w:val="nil"/>
              <w:left w:val="nil"/>
              <w:bottom w:val="nil"/>
              <w:right w:val="nil"/>
            </w:tcBorders>
            <w:noWrap/>
            <w:vAlign w:val="bottom"/>
          </w:tcPr>
          <w:p w:rsidR="00036604" w:rsidRDefault="00036604">
            <w:pPr>
              <w:rPr>
                <w:rFonts w:ascii="Arial" w:hAnsi="Arial" w:cs="Arial"/>
                <w:sz w:val="16"/>
                <w:szCs w:val="16"/>
              </w:rPr>
            </w:pPr>
          </w:p>
        </w:tc>
        <w:tc>
          <w:tcPr>
            <w:tcW w:w="1220" w:type="dxa"/>
            <w:tcBorders>
              <w:top w:val="nil"/>
              <w:left w:val="nil"/>
              <w:bottom w:val="nil"/>
              <w:right w:val="nil"/>
            </w:tcBorders>
            <w:noWrap/>
            <w:vAlign w:val="bottom"/>
          </w:tcPr>
          <w:p w:rsidR="00036604" w:rsidRDefault="00036604">
            <w:pPr>
              <w:rPr>
                <w:rFonts w:ascii="Arial" w:hAnsi="Arial" w:cs="Arial"/>
                <w:sz w:val="16"/>
                <w:szCs w:val="16"/>
              </w:rPr>
            </w:pPr>
          </w:p>
        </w:tc>
        <w:tc>
          <w:tcPr>
            <w:tcW w:w="1300" w:type="dxa"/>
            <w:tcBorders>
              <w:top w:val="nil"/>
              <w:left w:val="nil"/>
              <w:bottom w:val="nil"/>
              <w:right w:val="nil"/>
            </w:tcBorders>
            <w:noWrap/>
            <w:vAlign w:val="bottom"/>
          </w:tcPr>
          <w:p w:rsidR="00036604" w:rsidRDefault="00036604">
            <w:pPr>
              <w:rPr>
                <w:rFonts w:ascii="Arial" w:hAnsi="Arial" w:cs="Arial"/>
                <w:sz w:val="16"/>
                <w:szCs w:val="16"/>
              </w:rPr>
            </w:pPr>
          </w:p>
        </w:tc>
        <w:tc>
          <w:tcPr>
            <w:tcW w:w="800" w:type="dxa"/>
            <w:tcBorders>
              <w:top w:val="nil"/>
              <w:left w:val="nil"/>
              <w:bottom w:val="nil"/>
              <w:right w:val="nil"/>
            </w:tcBorders>
            <w:noWrap/>
            <w:vAlign w:val="bottom"/>
          </w:tcPr>
          <w:p w:rsidR="00036604" w:rsidRDefault="00036604">
            <w:pPr>
              <w:rPr>
                <w:rFonts w:ascii="Arial" w:hAnsi="Arial" w:cs="Arial"/>
                <w:sz w:val="16"/>
                <w:szCs w:val="16"/>
              </w:rPr>
            </w:pPr>
          </w:p>
        </w:tc>
        <w:tc>
          <w:tcPr>
            <w:tcW w:w="1180" w:type="dxa"/>
            <w:tcBorders>
              <w:top w:val="nil"/>
              <w:left w:val="nil"/>
              <w:bottom w:val="nil"/>
              <w:right w:val="nil"/>
            </w:tcBorders>
            <w:noWrap/>
            <w:vAlign w:val="bottom"/>
          </w:tcPr>
          <w:p w:rsidR="00036604" w:rsidRDefault="00036604">
            <w:pPr>
              <w:jc w:val="right"/>
              <w:rPr>
                <w:rFonts w:ascii="Arial" w:hAnsi="Arial" w:cs="Arial"/>
                <w:sz w:val="16"/>
                <w:szCs w:val="16"/>
              </w:rPr>
            </w:pPr>
            <w:r>
              <w:rPr>
                <w:rFonts w:ascii="Arial" w:hAnsi="Arial" w:cs="Arial"/>
                <w:sz w:val="16"/>
                <w:szCs w:val="16"/>
              </w:rPr>
              <w:t>v tis. Kč</w:t>
            </w:r>
          </w:p>
        </w:tc>
      </w:tr>
      <w:tr w:rsidR="00036604" w:rsidTr="006E55E3">
        <w:trPr>
          <w:trHeight w:val="225"/>
        </w:trPr>
        <w:tc>
          <w:tcPr>
            <w:tcW w:w="2900" w:type="dxa"/>
            <w:tcBorders>
              <w:top w:val="single" w:sz="8" w:space="0" w:color="auto"/>
              <w:left w:val="single" w:sz="8" w:space="0" w:color="auto"/>
              <w:bottom w:val="nil"/>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c>
          <w:tcPr>
            <w:tcW w:w="122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RS</w:t>
            </w:r>
          </w:p>
        </w:tc>
        <w:tc>
          <w:tcPr>
            <w:tcW w:w="122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RU</w:t>
            </w:r>
          </w:p>
        </w:tc>
        <w:tc>
          <w:tcPr>
            <w:tcW w:w="130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c>
          <w:tcPr>
            <w:tcW w:w="800" w:type="dxa"/>
            <w:tcBorders>
              <w:top w:val="single" w:sz="8" w:space="0" w:color="auto"/>
              <w:left w:val="nil"/>
              <w:bottom w:val="nil"/>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skut./RU</w:t>
            </w:r>
          </w:p>
        </w:tc>
        <w:tc>
          <w:tcPr>
            <w:tcW w:w="1180" w:type="dxa"/>
            <w:tcBorders>
              <w:top w:val="single" w:sz="8" w:space="0" w:color="auto"/>
              <w:left w:val="nil"/>
              <w:bottom w:val="nil"/>
              <w:right w:val="single" w:sz="8"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skutečnost</w:t>
            </w:r>
          </w:p>
        </w:tc>
      </w:tr>
      <w:tr w:rsidR="00036604" w:rsidTr="006E55E3">
        <w:trPr>
          <w:trHeight w:val="240"/>
        </w:trPr>
        <w:tc>
          <w:tcPr>
            <w:tcW w:w="2900" w:type="dxa"/>
            <w:tcBorders>
              <w:top w:val="nil"/>
              <w:left w:val="single" w:sz="8" w:space="0" w:color="auto"/>
              <w:bottom w:val="single" w:sz="8"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single" w:sz="8" w:space="0" w:color="auto"/>
              <w:right w:val="single" w:sz="4" w:space="0" w:color="auto"/>
            </w:tcBorders>
            <w:shd w:val="clear" w:color="000000" w:fill="C0C0C0"/>
            <w:noWrap/>
            <w:vAlign w:val="bottom"/>
          </w:tcPr>
          <w:p w:rsidR="00036604" w:rsidRDefault="00036604" w:rsidP="008B43AA">
            <w:pPr>
              <w:jc w:val="center"/>
              <w:rPr>
                <w:rFonts w:ascii="Arial" w:hAnsi="Arial" w:cs="Arial"/>
                <w:b/>
                <w:bCs/>
                <w:sz w:val="16"/>
                <w:szCs w:val="16"/>
              </w:rPr>
            </w:pPr>
            <w:r>
              <w:rPr>
                <w:rFonts w:ascii="Arial" w:hAnsi="Arial" w:cs="Arial"/>
                <w:b/>
                <w:bCs/>
                <w:sz w:val="16"/>
                <w:szCs w:val="16"/>
              </w:rPr>
              <w:t>k 31.12.2014</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w:t>
            </w:r>
          </w:p>
        </w:tc>
        <w:tc>
          <w:tcPr>
            <w:tcW w:w="1300" w:type="dxa"/>
            <w:tcBorders>
              <w:top w:val="nil"/>
              <w:left w:val="nil"/>
              <w:bottom w:val="single" w:sz="8" w:space="0" w:color="auto"/>
              <w:right w:val="single" w:sz="4" w:space="0" w:color="auto"/>
            </w:tcBorders>
            <w:shd w:val="clear" w:color="000000" w:fill="C0C0C0"/>
            <w:noWrap/>
            <w:vAlign w:val="bottom"/>
          </w:tcPr>
          <w:p w:rsidR="00036604" w:rsidRDefault="00036604" w:rsidP="008B43AA">
            <w:pPr>
              <w:jc w:val="center"/>
              <w:rPr>
                <w:rFonts w:ascii="Arial" w:hAnsi="Arial" w:cs="Arial"/>
                <w:b/>
                <w:bCs/>
                <w:sz w:val="16"/>
                <w:szCs w:val="16"/>
              </w:rPr>
            </w:pPr>
            <w:r>
              <w:rPr>
                <w:rFonts w:ascii="Arial" w:hAnsi="Arial" w:cs="Arial"/>
                <w:b/>
                <w:bCs/>
                <w:sz w:val="16"/>
                <w:szCs w:val="16"/>
              </w:rPr>
              <w:t>k 31.12.2015</w:t>
            </w:r>
          </w:p>
        </w:tc>
        <w:tc>
          <w:tcPr>
            <w:tcW w:w="800" w:type="dxa"/>
            <w:tcBorders>
              <w:top w:val="nil"/>
              <w:left w:val="nil"/>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w:t>
            </w:r>
          </w:p>
        </w:tc>
        <w:tc>
          <w:tcPr>
            <w:tcW w:w="1180" w:type="dxa"/>
            <w:tcBorders>
              <w:top w:val="nil"/>
              <w:left w:val="nil"/>
              <w:bottom w:val="single" w:sz="8" w:space="0" w:color="auto"/>
              <w:right w:val="single" w:sz="8"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2015-2014</w:t>
            </w:r>
          </w:p>
        </w:tc>
      </w:tr>
      <w:tr w:rsidR="00036604" w:rsidTr="006E55E3">
        <w:trPr>
          <w:trHeight w:val="660"/>
        </w:trPr>
        <w:tc>
          <w:tcPr>
            <w:tcW w:w="2900" w:type="dxa"/>
            <w:tcBorders>
              <w:top w:val="nil"/>
              <w:left w:val="single" w:sz="8" w:space="0" w:color="auto"/>
              <w:bottom w:val="single" w:sz="4" w:space="0" w:color="auto"/>
              <w:right w:val="single" w:sz="4" w:space="0" w:color="auto"/>
            </w:tcBorders>
            <w:vAlign w:val="bottom"/>
          </w:tcPr>
          <w:p w:rsidR="00036604" w:rsidRDefault="00036604">
            <w:pPr>
              <w:jc w:val="center"/>
              <w:rPr>
                <w:rFonts w:ascii="Arial" w:hAnsi="Arial" w:cs="Arial"/>
                <w:b/>
                <w:bCs/>
                <w:sz w:val="16"/>
                <w:szCs w:val="16"/>
              </w:rPr>
            </w:pPr>
            <w:r>
              <w:rPr>
                <w:rFonts w:ascii="Arial" w:hAnsi="Arial" w:cs="Arial"/>
                <w:b/>
                <w:bCs/>
                <w:sz w:val="16"/>
                <w:szCs w:val="16"/>
              </w:rPr>
              <w:t>Transfery ze stát.rozpočtu, stát.finančních aktiv nebo Národního fondu</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1 311 790,00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683 222,00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1 274 798,30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1 274 724,03</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i/>
                <w:iCs/>
                <w:sz w:val="16"/>
                <w:szCs w:val="16"/>
              </w:rPr>
            </w:pPr>
            <w:r>
              <w:rPr>
                <w:rFonts w:ascii="Arial" w:hAnsi="Arial" w:cs="Arial"/>
                <w:b/>
                <w:bCs/>
                <w:i/>
                <w:iCs/>
                <w:sz w:val="16"/>
                <w:szCs w:val="16"/>
              </w:rPr>
              <w:t>99,99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-37 065,97</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 včetně FV r. 2014</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963 129,80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683 222,00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962 713,10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962 638,78</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99,99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-491,02</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348 660,20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312 085,20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312 085,25</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-36 574,95</w:t>
            </w:r>
          </w:p>
        </w:tc>
      </w:tr>
      <w:tr w:rsidR="00036604" w:rsidTr="006E55E3">
        <w:trPr>
          <w:trHeight w:val="225"/>
        </w:trPr>
        <w:tc>
          <w:tcPr>
            <w:tcW w:w="2900" w:type="dxa"/>
            <w:tcBorders>
              <w:top w:val="nil"/>
              <w:left w:val="single" w:sz="8" w:space="0" w:color="auto"/>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single" w:sz="4" w:space="0" w:color="auto"/>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Transfery ze státních fondů</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18 715,10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19 741,90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19 741,91</w:t>
            </w:r>
          </w:p>
        </w:tc>
        <w:tc>
          <w:tcPr>
            <w:tcW w:w="8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1 026,81</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325,20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1 672,50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1 672,21</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99,98</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1 347,01</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18 389,90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18 069,40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18 069,70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-320,20</w:t>
            </w:r>
          </w:p>
        </w:tc>
      </w:tr>
      <w:tr w:rsidR="00036604" w:rsidTr="006E55E3">
        <w:trPr>
          <w:trHeight w:val="225"/>
        </w:trPr>
        <w:tc>
          <w:tcPr>
            <w:tcW w:w="2900" w:type="dxa"/>
            <w:tcBorders>
              <w:top w:val="nil"/>
              <w:left w:val="single" w:sz="8" w:space="0" w:color="auto"/>
              <w:bottom w:val="single" w:sz="4" w:space="0" w:color="auto"/>
              <w:right w:val="single" w:sz="4" w:space="0" w:color="auto"/>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4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2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2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30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80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b/>
                <w:bCs/>
                <w:sz w:val="16"/>
                <w:szCs w:val="16"/>
              </w:rPr>
            </w:pPr>
            <w:r>
              <w:rPr>
                <w:rFonts w:ascii="Arial" w:hAnsi="Arial" w:cs="Arial"/>
                <w:b/>
                <w:bCs/>
                <w:sz w:val="16"/>
                <w:szCs w:val="16"/>
              </w:rPr>
              <w:t>Transfery z rozp. hl. m. Prahy</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5 464 411,80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3 550 152,20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5 751 283,40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5 745 428,64</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99,90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281 016,84</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4 930 830,40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3 550 152,20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5 144 930,20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5 139 075,61</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99,89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208 245,21</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533 581,40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606 353,20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606 353,03</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72 771,63</w:t>
            </w:r>
          </w:p>
        </w:tc>
      </w:tr>
      <w:tr w:rsidR="00036604" w:rsidTr="006E55E3">
        <w:trPr>
          <w:trHeight w:val="225"/>
        </w:trPr>
        <w:tc>
          <w:tcPr>
            <w:tcW w:w="2900" w:type="dxa"/>
            <w:tcBorders>
              <w:top w:val="nil"/>
              <w:left w:val="single" w:sz="8" w:space="0" w:color="auto"/>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40" w:type="dxa"/>
            <w:tcBorders>
              <w:top w:val="nil"/>
              <w:left w:val="nil"/>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300" w:type="dxa"/>
            <w:tcBorders>
              <w:top w:val="nil"/>
              <w:left w:val="nil"/>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800" w:type="dxa"/>
            <w:tcBorders>
              <w:top w:val="nil"/>
              <w:left w:val="nil"/>
              <w:bottom w:val="nil"/>
              <w:right w:val="nil"/>
            </w:tcBorders>
            <w:shd w:val="clear" w:color="000000" w:fill="C0C0C0"/>
            <w:noWrap/>
            <w:vAlign w:val="bottom"/>
          </w:tcPr>
          <w:p w:rsidR="00036604" w:rsidRDefault="00036604">
            <w:pPr>
              <w:rPr>
                <w:rFonts w:ascii="Arial" w:hAnsi="Arial" w:cs="Arial"/>
                <w:i/>
                <w:iCs/>
                <w:sz w:val="16"/>
                <w:szCs w:val="16"/>
              </w:rPr>
            </w:pPr>
            <w:r>
              <w:rPr>
                <w:rFonts w:ascii="Arial" w:hAnsi="Arial" w:cs="Arial"/>
                <w:i/>
                <w:iCs/>
                <w:sz w:val="16"/>
                <w:szCs w:val="16"/>
              </w:rPr>
              <w:t> </w:t>
            </w:r>
          </w:p>
        </w:tc>
        <w:tc>
          <w:tcPr>
            <w:tcW w:w="1180" w:type="dxa"/>
            <w:tcBorders>
              <w:top w:val="nil"/>
              <w:left w:val="nil"/>
              <w:bottom w:val="nil"/>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single" w:sz="4" w:space="0" w:color="auto"/>
              <w:left w:val="single" w:sz="8" w:space="0" w:color="auto"/>
              <w:bottom w:val="single" w:sz="4" w:space="0" w:color="auto"/>
              <w:right w:val="single" w:sz="4" w:space="0" w:color="auto"/>
            </w:tcBorders>
            <w:noWrap/>
            <w:vAlign w:val="bottom"/>
          </w:tcPr>
          <w:p w:rsidR="00036604" w:rsidRDefault="00036604">
            <w:pPr>
              <w:rPr>
                <w:rFonts w:ascii="Arial" w:hAnsi="Arial" w:cs="Arial"/>
                <w:b/>
                <w:bCs/>
                <w:sz w:val="16"/>
                <w:szCs w:val="16"/>
              </w:rPr>
            </w:pPr>
            <w:r>
              <w:rPr>
                <w:rFonts w:ascii="Arial" w:hAnsi="Arial" w:cs="Arial"/>
                <w:b/>
                <w:bCs/>
                <w:sz w:val="16"/>
                <w:szCs w:val="16"/>
              </w:rPr>
              <w:t>Transfery z rozpočtu kraje</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210 960,20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i/>
                <w:iCs/>
                <w:sz w:val="16"/>
                <w:szCs w:val="16"/>
              </w:rPr>
            </w:pPr>
            <w:r>
              <w:rPr>
                <w:rFonts w:ascii="Arial" w:hAnsi="Arial" w:cs="Arial"/>
                <w:b/>
                <w:bCs/>
                <w:i/>
                <w:iCs/>
                <w:sz w:val="16"/>
                <w:szCs w:val="16"/>
              </w:rPr>
              <w:t>0,00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384 744,50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328 352,73</w:t>
            </w:r>
          </w:p>
        </w:tc>
        <w:tc>
          <w:tcPr>
            <w:tcW w:w="8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i/>
                <w:iCs/>
                <w:sz w:val="16"/>
                <w:szCs w:val="16"/>
              </w:rPr>
            </w:pPr>
            <w:r>
              <w:rPr>
                <w:rFonts w:ascii="Arial" w:hAnsi="Arial" w:cs="Arial"/>
                <w:b/>
                <w:bCs/>
                <w:i/>
                <w:iCs/>
                <w:sz w:val="16"/>
                <w:szCs w:val="16"/>
              </w:rPr>
              <w:t>85,34</w:t>
            </w:r>
          </w:p>
        </w:tc>
        <w:tc>
          <w:tcPr>
            <w:tcW w:w="1180" w:type="dxa"/>
            <w:tcBorders>
              <w:top w:val="single" w:sz="4" w:space="0" w:color="auto"/>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117 392,53</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45 838,10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29 178,30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22 520,10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77,18</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-23 318,00</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165 122,10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355 566,20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305 832,63</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86,01</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140 710,53</w:t>
            </w:r>
          </w:p>
        </w:tc>
      </w:tr>
      <w:tr w:rsidR="00036604" w:rsidTr="006E55E3">
        <w:trPr>
          <w:trHeight w:val="225"/>
        </w:trPr>
        <w:tc>
          <w:tcPr>
            <w:tcW w:w="2900" w:type="dxa"/>
            <w:tcBorders>
              <w:top w:val="nil"/>
              <w:left w:val="single" w:sz="8" w:space="0" w:color="auto"/>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single" w:sz="4" w:space="0" w:color="auto"/>
              <w:left w:val="single" w:sz="8" w:space="0" w:color="auto"/>
              <w:bottom w:val="nil"/>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 xml:space="preserve">Transfery z území jiného kraje </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2 843,50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800,00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1 553,30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1 693,50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109,03</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-1 150,00</w:t>
            </w:r>
          </w:p>
        </w:tc>
      </w:tr>
      <w:tr w:rsidR="00036604" w:rsidTr="006E55E3">
        <w:trPr>
          <w:trHeight w:val="255"/>
        </w:trPr>
        <w:tc>
          <w:tcPr>
            <w:tcW w:w="2900" w:type="dxa"/>
            <w:tcBorders>
              <w:top w:val="single" w:sz="4" w:space="0" w:color="auto"/>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2 843,50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800,00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1 212,70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1 352,90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111,56</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-1 490,60</w:t>
            </w:r>
          </w:p>
        </w:tc>
      </w:tr>
      <w:tr w:rsidR="00036604" w:rsidTr="006E55E3">
        <w:trPr>
          <w:trHeight w:val="25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340,60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340,60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340,60</w:t>
            </w:r>
          </w:p>
        </w:tc>
      </w:tr>
      <w:tr w:rsidR="00036604" w:rsidTr="006E55E3">
        <w:trPr>
          <w:trHeight w:val="225"/>
        </w:trPr>
        <w:tc>
          <w:tcPr>
            <w:tcW w:w="2900" w:type="dxa"/>
            <w:tcBorders>
              <w:top w:val="nil"/>
              <w:left w:val="single" w:sz="8" w:space="0" w:color="auto"/>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single" w:sz="4" w:space="0" w:color="auto"/>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Transfery z rozpočtů MČ*</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-374 056,20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580,00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671,20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671,12</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99,99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374 727,32</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-142 039,10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580,00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671,20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671,12</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99,99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142 710,22</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-232 017,10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i/>
                <w:iCs/>
                <w:sz w:val="16"/>
                <w:szCs w:val="16"/>
              </w:rPr>
            </w:pPr>
            <w:r>
              <w:rPr>
                <w:rFonts w:ascii="Arial" w:hAnsi="Arial" w:cs="Arial"/>
                <w:i/>
                <w:iCs/>
                <w:sz w:val="16"/>
                <w:szCs w:val="16"/>
              </w:rPr>
              <w:t>0,00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232 017,10</w:t>
            </w:r>
          </w:p>
        </w:tc>
      </w:tr>
      <w:tr w:rsidR="00036604" w:rsidTr="006E55E3">
        <w:trPr>
          <w:trHeight w:val="225"/>
        </w:trPr>
        <w:tc>
          <w:tcPr>
            <w:tcW w:w="2900" w:type="dxa"/>
            <w:tcBorders>
              <w:top w:val="nil"/>
              <w:left w:val="single" w:sz="8" w:space="0" w:color="auto"/>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nil"/>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single" w:sz="4" w:space="0" w:color="auto"/>
              <w:right w:val="nil"/>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25"/>
        </w:trPr>
        <w:tc>
          <w:tcPr>
            <w:tcW w:w="2900" w:type="dxa"/>
            <w:tcBorders>
              <w:top w:val="single" w:sz="4" w:space="0" w:color="auto"/>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Převody z vlastních fondů</w:t>
            </w:r>
          </w:p>
        </w:tc>
        <w:tc>
          <w:tcPr>
            <w:tcW w:w="124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4 531 544,30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5 136 569,60</w:t>
            </w:r>
          </w:p>
        </w:tc>
        <w:tc>
          <w:tcPr>
            <w:tcW w:w="122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5 191 915,20</w:t>
            </w:r>
          </w:p>
        </w:tc>
        <w:tc>
          <w:tcPr>
            <w:tcW w:w="1300" w:type="dxa"/>
            <w:tcBorders>
              <w:top w:val="single" w:sz="4" w:space="0" w:color="auto"/>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3 293 157,34</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63,43</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-1 238 386,96</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sz w:val="16"/>
                <w:szCs w:val="16"/>
              </w:rPr>
            </w:pPr>
            <w:r>
              <w:rPr>
                <w:rFonts w:ascii="Arial" w:hAnsi="Arial" w:cs="Arial"/>
                <w:sz w:val="16"/>
                <w:szCs w:val="16"/>
              </w:rPr>
              <w:t xml:space="preserve">zdaňované činnosti </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4 530 568,00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5 136 569,60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5 191 304,70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3 289 525,52</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63,37</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-1 241 042,48</w:t>
            </w:r>
          </w:p>
        </w:tc>
      </w:tr>
      <w:tr w:rsidR="00036604" w:rsidTr="006E55E3">
        <w:trPr>
          <w:trHeight w:val="225"/>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sz w:val="16"/>
                <w:szCs w:val="16"/>
              </w:rPr>
            </w:pPr>
            <w:r>
              <w:rPr>
                <w:rFonts w:ascii="Arial" w:hAnsi="Arial" w:cs="Arial"/>
                <w:sz w:val="16"/>
                <w:szCs w:val="16"/>
              </w:rPr>
              <w:t>ostatních</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976,30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610,50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3 631,82</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594,89</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2 655,52</w:t>
            </w:r>
          </w:p>
        </w:tc>
      </w:tr>
      <w:tr w:rsidR="00036604" w:rsidTr="006E55E3">
        <w:trPr>
          <w:trHeight w:val="225"/>
        </w:trPr>
        <w:tc>
          <w:tcPr>
            <w:tcW w:w="2900" w:type="dxa"/>
            <w:tcBorders>
              <w:top w:val="nil"/>
              <w:left w:val="single" w:sz="8" w:space="0" w:color="auto"/>
              <w:bottom w:val="single" w:sz="4" w:space="0" w:color="auto"/>
              <w:right w:val="single" w:sz="4" w:space="0" w:color="auto"/>
            </w:tcBorders>
            <w:shd w:val="clear" w:color="000000" w:fill="C0C0C0"/>
            <w:noWrap/>
            <w:vAlign w:val="bottom"/>
          </w:tcPr>
          <w:p w:rsidR="00036604" w:rsidRDefault="00036604">
            <w:pPr>
              <w:jc w:val="cente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30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c>
          <w:tcPr>
            <w:tcW w:w="1180" w:type="dxa"/>
            <w:tcBorders>
              <w:top w:val="nil"/>
              <w:left w:val="nil"/>
              <w:bottom w:val="single" w:sz="4" w:space="0" w:color="auto"/>
              <w:right w:val="single" w:sz="8" w:space="0" w:color="auto"/>
            </w:tcBorders>
            <w:shd w:val="clear" w:color="000000" w:fill="C0C0C0"/>
            <w:noWrap/>
            <w:vAlign w:val="bottom"/>
          </w:tcPr>
          <w:p w:rsidR="00036604" w:rsidRDefault="00036604">
            <w:pPr>
              <w:rPr>
                <w:rFonts w:ascii="Arial" w:hAnsi="Arial" w:cs="Arial"/>
                <w:sz w:val="16"/>
                <w:szCs w:val="16"/>
              </w:rPr>
            </w:pPr>
            <w:r>
              <w:rPr>
                <w:rFonts w:ascii="Arial" w:hAnsi="Arial" w:cs="Arial"/>
                <w:sz w:val="16"/>
                <w:szCs w:val="16"/>
              </w:rPr>
              <w:t> </w:t>
            </w:r>
          </w:p>
        </w:tc>
      </w:tr>
      <w:tr w:rsidR="00036604" w:rsidTr="006E55E3">
        <w:trPr>
          <w:trHeight w:val="240"/>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b/>
                <w:bCs/>
                <w:sz w:val="16"/>
                <w:szCs w:val="16"/>
              </w:rPr>
            </w:pPr>
            <w:r>
              <w:rPr>
                <w:rFonts w:ascii="Arial" w:hAnsi="Arial" w:cs="Arial"/>
                <w:b/>
                <w:bCs/>
                <w:sz w:val="16"/>
                <w:szCs w:val="16"/>
              </w:rPr>
              <w:t>Transfery ze zahraničí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8 759,60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8 012,00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8 011,84</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b/>
                <w:bCs/>
                <w:sz w:val="16"/>
                <w:szCs w:val="16"/>
              </w:rPr>
            </w:pPr>
            <w:r>
              <w:rPr>
                <w:rFonts w:ascii="Arial" w:hAnsi="Arial" w:cs="Arial"/>
                <w:b/>
                <w:bCs/>
                <w:sz w:val="16"/>
                <w:szCs w:val="16"/>
              </w:rPr>
              <w:t>-747,76</w:t>
            </w:r>
          </w:p>
        </w:tc>
      </w:tr>
      <w:tr w:rsidR="00036604" w:rsidTr="006E55E3">
        <w:trPr>
          <w:trHeight w:val="240"/>
        </w:trPr>
        <w:tc>
          <w:tcPr>
            <w:tcW w:w="2900" w:type="dxa"/>
            <w:tcBorders>
              <w:top w:val="nil"/>
              <w:left w:val="single" w:sz="8" w:space="0" w:color="auto"/>
              <w:bottom w:val="single" w:sz="4" w:space="0" w:color="auto"/>
              <w:right w:val="single" w:sz="4" w:space="0" w:color="auto"/>
            </w:tcBorders>
            <w:noWrap/>
            <w:vAlign w:val="bottom"/>
          </w:tcPr>
          <w:p w:rsidR="00036604" w:rsidRDefault="00036604">
            <w:pPr>
              <w:jc w:val="center"/>
              <w:rPr>
                <w:rFonts w:ascii="Arial" w:hAnsi="Arial" w:cs="Arial"/>
                <w:i/>
                <w:iCs/>
                <w:sz w:val="16"/>
                <w:szCs w:val="16"/>
              </w:rPr>
            </w:pPr>
            <w:r>
              <w:rPr>
                <w:rFonts w:ascii="Arial" w:hAnsi="Arial" w:cs="Arial"/>
                <w:i/>
                <w:iCs/>
                <w:sz w:val="16"/>
                <w:szCs w:val="16"/>
              </w:rPr>
              <w:t>z toho: neinvestiční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8 759,60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7 854,40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7 854,20</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100,00</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-905,40</w:t>
            </w:r>
          </w:p>
        </w:tc>
      </w:tr>
      <w:tr w:rsidR="00036604" w:rsidTr="006E55E3">
        <w:trPr>
          <w:trHeight w:val="240"/>
        </w:trPr>
        <w:tc>
          <w:tcPr>
            <w:tcW w:w="2900" w:type="dxa"/>
            <w:tcBorders>
              <w:top w:val="nil"/>
              <w:left w:val="single" w:sz="8" w:space="0" w:color="auto"/>
              <w:bottom w:val="single" w:sz="4" w:space="0" w:color="auto"/>
              <w:right w:val="single" w:sz="4" w:space="0" w:color="auto"/>
            </w:tcBorders>
            <w:noWrap/>
            <w:vAlign w:val="bottom"/>
          </w:tcPr>
          <w:p w:rsidR="00036604" w:rsidRDefault="00036604">
            <w:pPr>
              <w:rPr>
                <w:rFonts w:ascii="Arial" w:hAnsi="Arial" w:cs="Arial"/>
                <w:i/>
                <w:iCs/>
                <w:sz w:val="16"/>
                <w:szCs w:val="16"/>
              </w:rPr>
            </w:pPr>
            <w:r>
              <w:rPr>
                <w:rFonts w:ascii="Arial" w:hAnsi="Arial" w:cs="Arial"/>
                <w:i/>
                <w:iCs/>
                <w:sz w:val="16"/>
                <w:szCs w:val="16"/>
              </w:rPr>
              <w:t xml:space="preserve">                    investiční</w:t>
            </w:r>
          </w:p>
        </w:tc>
        <w:tc>
          <w:tcPr>
            <w:tcW w:w="124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122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157,60</w:t>
            </w:r>
          </w:p>
        </w:tc>
        <w:tc>
          <w:tcPr>
            <w:tcW w:w="13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157,64</w:t>
            </w:r>
          </w:p>
        </w:tc>
        <w:tc>
          <w:tcPr>
            <w:tcW w:w="80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100,02</w:t>
            </w:r>
          </w:p>
        </w:tc>
        <w:tc>
          <w:tcPr>
            <w:tcW w:w="1180" w:type="dxa"/>
            <w:tcBorders>
              <w:top w:val="nil"/>
              <w:left w:val="nil"/>
              <w:bottom w:val="single" w:sz="4" w:space="0" w:color="auto"/>
              <w:right w:val="single" w:sz="8"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157,64</w:t>
            </w:r>
          </w:p>
        </w:tc>
      </w:tr>
      <w:tr w:rsidR="00036604" w:rsidTr="006E55E3">
        <w:trPr>
          <w:trHeight w:val="360"/>
        </w:trPr>
        <w:tc>
          <w:tcPr>
            <w:tcW w:w="2900" w:type="dxa"/>
            <w:tcBorders>
              <w:top w:val="single" w:sz="8" w:space="0" w:color="auto"/>
              <w:left w:val="single" w:sz="8" w:space="0" w:color="auto"/>
              <w:bottom w:val="single" w:sz="8" w:space="0" w:color="auto"/>
              <w:right w:val="single" w:sz="4" w:space="0" w:color="auto"/>
            </w:tcBorders>
            <w:shd w:val="clear" w:color="000000" w:fill="C0C0C0"/>
            <w:noWrap/>
            <w:vAlign w:val="bottom"/>
          </w:tcPr>
          <w:p w:rsidR="00036604" w:rsidRDefault="00036604">
            <w:pPr>
              <w:jc w:val="center"/>
              <w:rPr>
                <w:rFonts w:ascii="Arial" w:hAnsi="Arial" w:cs="Arial"/>
                <w:b/>
                <w:bCs/>
                <w:sz w:val="16"/>
                <w:szCs w:val="16"/>
              </w:rPr>
            </w:pPr>
            <w:r>
              <w:rPr>
                <w:rFonts w:ascii="Arial" w:hAnsi="Arial" w:cs="Arial"/>
                <w:b/>
                <w:bCs/>
                <w:sz w:val="16"/>
                <w:szCs w:val="16"/>
              </w:rPr>
              <w:t>Přijaté transfery celkem</w:t>
            </w:r>
          </w:p>
        </w:tc>
        <w:tc>
          <w:tcPr>
            <w:tcW w:w="1240" w:type="dxa"/>
            <w:tcBorders>
              <w:top w:val="nil"/>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11 174 968,30</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9 371 323,80</w:t>
            </w:r>
          </w:p>
        </w:tc>
        <w:tc>
          <w:tcPr>
            <w:tcW w:w="1220" w:type="dxa"/>
            <w:tcBorders>
              <w:top w:val="nil"/>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12 632 719,80</w:t>
            </w:r>
          </w:p>
        </w:tc>
        <w:tc>
          <w:tcPr>
            <w:tcW w:w="1300" w:type="dxa"/>
            <w:tcBorders>
              <w:top w:val="nil"/>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10 671 781,11</w:t>
            </w:r>
          </w:p>
        </w:tc>
        <w:tc>
          <w:tcPr>
            <w:tcW w:w="800" w:type="dxa"/>
            <w:tcBorders>
              <w:top w:val="nil"/>
              <w:left w:val="nil"/>
              <w:bottom w:val="single" w:sz="8" w:space="0" w:color="auto"/>
              <w:right w:val="single" w:sz="4"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84,48</w:t>
            </w:r>
          </w:p>
        </w:tc>
        <w:tc>
          <w:tcPr>
            <w:tcW w:w="1180" w:type="dxa"/>
            <w:tcBorders>
              <w:top w:val="nil"/>
              <w:left w:val="nil"/>
              <w:bottom w:val="single" w:sz="8" w:space="0" w:color="auto"/>
              <w:right w:val="single" w:sz="8" w:space="0" w:color="auto"/>
            </w:tcBorders>
            <w:shd w:val="clear" w:color="000000" w:fill="C0C0C0"/>
            <w:noWrap/>
            <w:vAlign w:val="bottom"/>
          </w:tcPr>
          <w:p w:rsidR="00036604" w:rsidRDefault="00036604">
            <w:pPr>
              <w:jc w:val="right"/>
              <w:rPr>
                <w:rFonts w:ascii="Arial" w:hAnsi="Arial" w:cs="Arial"/>
                <w:b/>
                <w:bCs/>
                <w:sz w:val="16"/>
                <w:szCs w:val="16"/>
              </w:rPr>
            </w:pPr>
            <w:r>
              <w:rPr>
                <w:rFonts w:ascii="Arial" w:hAnsi="Arial" w:cs="Arial"/>
                <w:b/>
                <w:bCs/>
                <w:sz w:val="16"/>
                <w:szCs w:val="16"/>
              </w:rPr>
              <w:t>-503 187,19</w:t>
            </w:r>
          </w:p>
        </w:tc>
      </w:tr>
    </w:tbl>
    <w:p w:rsidR="00036604" w:rsidRDefault="00036604">
      <w:pPr>
        <w:jc w:val="both"/>
      </w:pPr>
    </w:p>
    <w:p w:rsidR="00036604" w:rsidRPr="006E55E3" w:rsidRDefault="00036604" w:rsidP="006E55E3">
      <w:pPr>
        <w:jc w:val="both"/>
        <w:rPr>
          <w:sz w:val="20"/>
          <w:szCs w:val="20"/>
        </w:rPr>
      </w:pPr>
      <w:r w:rsidRPr="006E55E3">
        <w:rPr>
          <w:sz w:val="20"/>
          <w:szCs w:val="20"/>
        </w:rPr>
        <w:t>* od r. 2015 jsou transfery z rozpočtu MČ do rozpočtu hl. m. Prahy vykazovány na položce 5347, do r. 2015 evidováno na příjmových položkách (4129, 4229) mínusem</w:t>
      </w:r>
    </w:p>
    <w:p w:rsidR="00036604" w:rsidRDefault="00036604">
      <w:pPr>
        <w:jc w:val="both"/>
      </w:pPr>
    </w:p>
    <w:p w:rsidR="00036604" w:rsidRDefault="00036604">
      <w:pPr>
        <w:jc w:val="both"/>
      </w:pPr>
    </w:p>
    <w:p w:rsidR="00036604" w:rsidRDefault="00036604" w:rsidP="005250DA">
      <w:pPr>
        <w:jc w:val="both"/>
        <w:rPr>
          <w:iCs/>
        </w:rPr>
      </w:pPr>
      <w:r>
        <w:rPr>
          <w:iCs/>
        </w:rPr>
        <w:t>Pozn.</w:t>
      </w:r>
    </w:p>
    <w:p w:rsidR="00036604" w:rsidRPr="004B28BF" w:rsidRDefault="00036604" w:rsidP="005250DA">
      <w:pPr>
        <w:jc w:val="both"/>
        <w:rPr>
          <w:i/>
          <w:iCs/>
        </w:rPr>
      </w:pPr>
      <w:r w:rsidRPr="004B28BF">
        <w:rPr>
          <w:i/>
          <w:iCs/>
        </w:rPr>
        <w:t>Trans</w:t>
      </w:r>
      <w:r>
        <w:rPr>
          <w:i/>
          <w:iCs/>
        </w:rPr>
        <w:t>fery ze státního rozpočtu přijaté prostřednictvím</w:t>
      </w:r>
      <w:r w:rsidRPr="004B28BF">
        <w:rPr>
          <w:i/>
          <w:iCs/>
        </w:rPr>
        <w:t xml:space="preserve"> rozpočtu hl. m. Prahy</w:t>
      </w:r>
      <w:r>
        <w:rPr>
          <w:i/>
          <w:iCs/>
        </w:rPr>
        <w:t>, dotace z rozpočtu vlastního hl. m. Prahy i transfery z rozpočtu jiné městské části hl. m. Prahy</w:t>
      </w:r>
      <w:r w:rsidRPr="004B28BF">
        <w:rPr>
          <w:i/>
          <w:iCs/>
        </w:rPr>
        <w:t xml:space="preserve"> j</w:t>
      </w:r>
      <w:r>
        <w:rPr>
          <w:i/>
          <w:iCs/>
        </w:rPr>
        <w:t>sou vykazovány v souladu s novel</w:t>
      </w:r>
      <w:r w:rsidRPr="004B28BF">
        <w:rPr>
          <w:i/>
          <w:iCs/>
        </w:rPr>
        <w:t xml:space="preserve">ou vyhlášky o rozpočtové skladbě na položce 4137 - </w:t>
      </w:r>
      <w:r w:rsidRPr="004B28BF">
        <w:rPr>
          <w:i/>
        </w:rPr>
        <w:t xml:space="preserve"> Převody mezi statutárními městy (hl. m. Prahou) a jejich městskými obvody nebo částmi – příjmy.</w:t>
      </w:r>
      <w:r>
        <w:rPr>
          <w:i/>
        </w:rPr>
        <w:t xml:space="preserve"> </w:t>
      </w:r>
      <w:r w:rsidRPr="004B28BF">
        <w:rPr>
          <w:i/>
        </w:rPr>
        <w:t xml:space="preserve"> Na jednotlivých položkách dle druhu příjmu jsou evidovány pouze transfery, které byly městským částem poukázány přímo na jejich bankovní účty a převody z vlastních fondů. </w:t>
      </w:r>
    </w:p>
    <w:p w:rsidR="00036604" w:rsidRDefault="00036604" w:rsidP="005250DA">
      <w:pPr>
        <w:jc w:val="both"/>
        <w:rPr>
          <w:iCs/>
        </w:rPr>
      </w:pPr>
    </w:p>
    <w:p w:rsidR="00036604" w:rsidRPr="00EF0523" w:rsidRDefault="00036604" w:rsidP="005250DA">
      <w:pPr>
        <w:jc w:val="both"/>
        <w:rPr>
          <w:iCs/>
          <w:color w:val="FF0000"/>
        </w:rPr>
      </w:pPr>
      <w:r w:rsidRPr="005C6C8C">
        <w:rPr>
          <w:iCs/>
        </w:rPr>
        <w:t xml:space="preserve">Přehledy všech rozpočtových opatření schválených ZHMP (RHMP) ve vztahu k městským částem v členění na dotace ze státního rozpočtu, z rozpočtu hl. m. Prahy a z rozpočtu hl. m. Prahy ve funkci kraje  (v každé této kategorii uváděny zvlášť dotace neinvestiční a investiční) včetně přehledu vlastních úprav rozpočtu realizovaných městskými částmi (pod vlastním číslem dokladu)  </w:t>
      </w:r>
      <w:r>
        <w:rPr>
          <w:iCs/>
        </w:rPr>
        <w:t xml:space="preserve">k 31. 12. </w:t>
      </w:r>
      <w:r w:rsidRPr="00556FB1">
        <w:rPr>
          <w:iCs/>
        </w:rPr>
        <w:t>2015 jsou uvedeny v části III.5.2., III.5.3. a III.5.4.</w:t>
      </w:r>
    </w:p>
    <w:p w:rsidR="00036604" w:rsidRPr="00EF0523" w:rsidRDefault="00036604" w:rsidP="005250DA">
      <w:pPr>
        <w:ind w:left="360"/>
        <w:jc w:val="both"/>
        <w:rPr>
          <w:color w:val="FF0000"/>
        </w:rPr>
      </w:pPr>
    </w:p>
    <w:p w:rsidR="00036604" w:rsidRPr="002C3DCC" w:rsidRDefault="00036604" w:rsidP="005250DA">
      <w:pPr>
        <w:jc w:val="both"/>
        <w:rPr>
          <w:b/>
        </w:rPr>
      </w:pPr>
    </w:p>
    <w:p w:rsidR="00036604" w:rsidRPr="00655705" w:rsidRDefault="00036604" w:rsidP="005250DA">
      <w:pPr>
        <w:numPr>
          <w:ilvl w:val="0"/>
          <w:numId w:val="1"/>
        </w:numPr>
        <w:jc w:val="both"/>
        <w:rPr>
          <w:b/>
          <w:u w:val="single"/>
        </w:rPr>
      </w:pPr>
      <w:r w:rsidRPr="00655705">
        <w:rPr>
          <w:b/>
          <w:u w:val="single"/>
        </w:rPr>
        <w:t>Transfery ze státního rozpočtu</w:t>
      </w:r>
      <w:r>
        <w:rPr>
          <w:b/>
          <w:u w:val="single"/>
        </w:rPr>
        <w:t>, státních finančních aktiv, Národního fondu</w:t>
      </w:r>
    </w:p>
    <w:p w:rsidR="00036604" w:rsidRDefault="00036604" w:rsidP="005250DA">
      <w:pPr>
        <w:jc w:val="both"/>
      </w:pPr>
      <w:r>
        <w:t>Celkový objem transferů poskytnutých městským částem ze státního rozpočtu, státních finančních aktiv a Národního fondu v roce 2015 činil 1 274 724,0 tis. Kč, z toho 962 638,8 tis. Kč činily neinvestiční transfery a 312 085,3 tis. Kč transfery investiční.</w:t>
      </w:r>
    </w:p>
    <w:p w:rsidR="00036604" w:rsidRDefault="00036604" w:rsidP="005250DA">
      <w:pPr>
        <w:jc w:val="both"/>
      </w:pPr>
    </w:p>
    <w:p w:rsidR="00036604" w:rsidRDefault="00036604" w:rsidP="005250DA">
      <w:pPr>
        <w:jc w:val="both"/>
      </w:pPr>
      <w:r>
        <w:t xml:space="preserve">Rozhodující objem </w:t>
      </w:r>
      <w:r w:rsidRPr="00AC0D97">
        <w:rPr>
          <w:b/>
          <w:u w:val="single"/>
        </w:rPr>
        <w:t>neinvestičních transferů</w:t>
      </w:r>
      <w:r w:rsidRPr="00AC0D97">
        <w:rPr>
          <w:u w:val="single"/>
        </w:rPr>
        <w:t xml:space="preserve"> </w:t>
      </w:r>
      <w:r w:rsidRPr="00AC0D97">
        <w:rPr>
          <w:b/>
          <w:u w:val="single"/>
        </w:rPr>
        <w:t>ze státního rozpočtu</w:t>
      </w:r>
      <w:r>
        <w:t xml:space="preserve"> městským částem představuje </w:t>
      </w:r>
      <w:r w:rsidRPr="00C9026F">
        <w:rPr>
          <w:u w:val="single"/>
        </w:rPr>
        <w:t>příspěvek na výkon státní správy</w:t>
      </w:r>
      <w:r>
        <w:t xml:space="preserve"> z finančního vztahu státního rozpočtu k rozpočtu hl. m. Prahy, rozpočtově ve výši 683 222,0 tis. Kč.</w:t>
      </w:r>
      <w:r w:rsidRPr="0046529A">
        <w:t xml:space="preserve">   </w:t>
      </w:r>
    </w:p>
    <w:p w:rsidR="00036604" w:rsidRDefault="00036604" w:rsidP="005250DA">
      <w:pPr>
        <w:jc w:val="both"/>
      </w:pPr>
      <w:r w:rsidRPr="0046529A">
        <w:t xml:space="preserve">  </w:t>
      </w:r>
    </w:p>
    <w:p w:rsidR="00036604" w:rsidRDefault="00036604" w:rsidP="005250DA">
      <w:pPr>
        <w:jc w:val="both"/>
      </w:pPr>
      <w:r>
        <w:t xml:space="preserve">K významnému  navýšení schváleného </w:t>
      </w:r>
      <w:r w:rsidRPr="0046529A">
        <w:t xml:space="preserve">rozpočtu </w:t>
      </w:r>
      <w:r>
        <w:t xml:space="preserve">městských částí u </w:t>
      </w:r>
      <w:r w:rsidRPr="003D4ECF">
        <w:rPr>
          <w:bCs/>
        </w:rPr>
        <w:t>neinvestičního transfer</w:t>
      </w:r>
      <w:r>
        <w:rPr>
          <w:bCs/>
        </w:rPr>
        <w:t>u</w:t>
      </w:r>
      <w:r w:rsidRPr="003D4ECF">
        <w:t xml:space="preserve"> ze státního rozpočtu</w:t>
      </w:r>
      <w:r>
        <w:t xml:space="preserve"> došlo v průběhu roku ve vazbě na rozhodnutí </w:t>
      </w:r>
      <w:r w:rsidRPr="0046529A">
        <w:t> </w:t>
      </w:r>
      <w:r>
        <w:t>o poskytnutí finančních prostředků:</w:t>
      </w:r>
    </w:p>
    <w:p w:rsidR="00036604" w:rsidRPr="006E7E7A" w:rsidRDefault="00036604" w:rsidP="001205CF">
      <w:pPr>
        <w:numPr>
          <w:ilvl w:val="0"/>
          <w:numId w:val="7"/>
        </w:numPr>
        <w:jc w:val="both"/>
        <w:rPr>
          <w:u w:val="single"/>
        </w:rPr>
      </w:pPr>
      <w:r w:rsidRPr="00A37D0D">
        <w:t>z </w:t>
      </w:r>
      <w:r w:rsidRPr="001205CF">
        <w:rPr>
          <w:b/>
        </w:rPr>
        <w:t>Ministerstva financí</w:t>
      </w:r>
      <w:r w:rsidRPr="00A37D0D">
        <w:t xml:space="preserve"> </w:t>
      </w:r>
      <w:r>
        <w:t xml:space="preserve">celkem ve výši </w:t>
      </w:r>
      <w:r w:rsidRPr="001205CF">
        <w:t>14 062,9 tis. Kč</w:t>
      </w:r>
      <w:r>
        <w:t xml:space="preserve">, z toho </w:t>
      </w:r>
      <w:r w:rsidRPr="00A37D0D">
        <w:t>z Programu švýcarsko-české spolupráce na Zavedení nových trendů a metod v předškolním vzdělávání ve výši 389,2 tis. Kč</w:t>
      </w:r>
      <w:r>
        <w:t xml:space="preserve">, na nové volby do zastupitelstev obcí 38,8 tis. Kč a  na dokrytí výdajů nad rámec poskytnutých dotací na volby </w:t>
      </w:r>
      <w:r w:rsidRPr="006E7E7A">
        <w:t>v rámci finančního vypořádání za rok 2014</w:t>
      </w:r>
      <w:r>
        <w:t xml:space="preserve"> ve výši 13 634,9 tis. Kč;</w:t>
      </w:r>
    </w:p>
    <w:p w:rsidR="00036604" w:rsidRPr="00FF5B4E" w:rsidRDefault="00036604" w:rsidP="00FF5B4E">
      <w:pPr>
        <w:numPr>
          <w:ilvl w:val="0"/>
          <w:numId w:val="7"/>
        </w:numPr>
        <w:jc w:val="both"/>
      </w:pPr>
      <w:r w:rsidRPr="00FF5B4E">
        <w:t xml:space="preserve">z </w:t>
      </w:r>
      <w:r w:rsidRPr="00FF5B4E">
        <w:rPr>
          <w:b/>
        </w:rPr>
        <w:t>Ministerstva práce a sociálních věcí</w:t>
      </w:r>
      <w:r w:rsidRPr="00FF5B4E">
        <w:t xml:space="preserve"> (</w:t>
      </w:r>
      <w:r w:rsidRPr="009F5FB5">
        <w:t>MPSV)</w:t>
      </w:r>
      <w:r w:rsidRPr="0046529A">
        <w:t xml:space="preserve"> </w:t>
      </w:r>
      <w:r>
        <w:t xml:space="preserve">celkem ve výši </w:t>
      </w:r>
      <w:r w:rsidRPr="00FF5B4E">
        <w:rPr>
          <w:b/>
        </w:rPr>
        <w:t>233 201,7 tis. Kč</w:t>
      </w:r>
      <w:r>
        <w:t xml:space="preserve">, z toho činila dotace MČ Praha 1 – 22 </w:t>
      </w:r>
      <w:r w:rsidRPr="00FF5B4E">
        <w:t>na výkon agen</w:t>
      </w:r>
      <w:r>
        <w:t>dy sociálně-právní ochrany dětí</w:t>
      </w:r>
      <w:r w:rsidRPr="00FF5B4E">
        <w:t xml:space="preserve"> 131 147,8 tis. Kč (dotace na rok 2015 ve výši 120 552,9 tis. Kč a doplatek dotace za rok 2014 ve výši 10 594,9 tis. Kč), dotace na sociální služby 60 608,0 tis. Kč, dotace na výkon sociální práce 15 413,0 tis. Kč a dotace na projekty v rámci Operačního program</w:t>
      </w:r>
      <w:r>
        <w:t>u Lidské zdroje a zaměstnanost (OP LZZ)</w:t>
      </w:r>
      <w:r w:rsidRPr="00FF5B4E">
        <w:t xml:space="preserve"> 685,9 tis. Kč, dále </w:t>
      </w:r>
      <w:r>
        <w:t xml:space="preserve">byly MČ </w:t>
      </w:r>
      <w:r w:rsidRPr="00FF5B4E">
        <w:t>finanční prostředky poskytnut</w:t>
      </w:r>
      <w:r>
        <w:t>y</w:t>
      </w:r>
      <w:r w:rsidRPr="00FF5B4E">
        <w:t xml:space="preserve"> z Úřadu práce ČR jako příspěvek na výkon pěstounské péče </w:t>
      </w:r>
      <w:r>
        <w:t xml:space="preserve">ve výši </w:t>
      </w:r>
      <w:r w:rsidRPr="00FF5B4E">
        <w:t>22 272,0 tis. Kč a příspěvek na zajištění veřejně prospěšných prací v rámci aktivní politiky zaměstnanosti</w:t>
      </w:r>
      <w:r>
        <w:t xml:space="preserve"> ve výši</w:t>
      </w:r>
      <w:r w:rsidRPr="00FF5B4E">
        <w:t xml:space="preserve"> 3 075,0 tis. Kč;</w:t>
      </w:r>
      <w:r>
        <w:t xml:space="preserve"> </w:t>
      </w:r>
    </w:p>
    <w:p w:rsidR="00036604" w:rsidRPr="00FF5B4E" w:rsidRDefault="00036604" w:rsidP="00FF5B4E">
      <w:pPr>
        <w:numPr>
          <w:ilvl w:val="0"/>
          <w:numId w:val="8"/>
        </w:numPr>
        <w:jc w:val="both"/>
      </w:pPr>
      <w:r w:rsidRPr="00FF5B4E">
        <w:t>z</w:t>
      </w:r>
      <w:r w:rsidRPr="00FF5B4E">
        <w:rPr>
          <w:b/>
        </w:rPr>
        <w:t xml:space="preserve"> Ministerstva vnitra </w:t>
      </w:r>
      <w:r w:rsidRPr="00FF5B4E">
        <w:t>ve vazbě</w:t>
      </w:r>
      <w:r>
        <w:rPr>
          <w:b/>
        </w:rPr>
        <w:t xml:space="preserve"> </w:t>
      </w:r>
      <w:r>
        <w:t xml:space="preserve">na rozhodnutí o poskytnutí transferů celkem ve výši </w:t>
      </w:r>
      <w:r w:rsidRPr="00FF5B4E">
        <w:rPr>
          <w:b/>
        </w:rPr>
        <w:t>15 121,3 tis. Kč</w:t>
      </w:r>
      <w:r w:rsidRPr="00FF5B4E">
        <w:t xml:space="preserve">, z toho na Emergentní projekty na podporu integrace cizinců ve výši 6 517,6 tis. Kč, na zajištění bydlení pro azylanty ve výši 2 343,0 tis. Kč, na projekty v rámci OP LZZ v celkové výši 5 520,9 tis. Kč, na činnost jednotek SDH ve výši 319,0 tis. Kč, na Program prevence kriminality ve výši 311,0 tis. Kč a na Bezpečnostního dobrovolníka ve výši 109,8 tis. Kč; </w:t>
      </w:r>
    </w:p>
    <w:p w:rsidR="00036604" w:rsidRPr="00FF5B4E" w:rsidRDefault="00036604" w:rsidP="00FF5B4E">
      <w:pPr>
        <w:numPr>
          <w:ilvl w:val="0"/>
          <w:numId w:val="8"/>
        </w:numPr>
        <w:jc w:val="both"/>
        <w:rPr>
          <w:u w:val="single"/>
        </w:rPr>
      </w:pPr>
      <w:r w:rsidRPr="00FF5B4E">
        <w:t>z</w:t>
      </w:r>
      <w:r w:rsidRPr="00FF5B4E">
        <w:rPr>
          <w:b/>
        </w:rPr>
        <w:t> Ministerstva životního prostředí</w:t>
      </w:r>
      <w:r>
        <w:t xml:space="preserve"> na projekty v rámci Operačního programu Životní prostředí celkem ve výši </w:t>
      </w:r>
      <w:r w:rsidRPr="00062611">
        <w:rPr>
          <w:b/>
        </w:rPr>
        <w:t>8 447,5 tis. Kč</w:t>
      </w:r>
      <w:r>
        <w:t>;</w:t>
      </w:r>
    </w:p>
    <w:p w:rsidR="00036604" w:rsidRPr="00FF5B4E" w:rsidRDefault="00036604" w:rsidP="00FF5B4E">
      <w:pPr>
        <w:numPr>
          <w:ilvl w:val="0"/>
          <w:numId w:val="8"/>
        </w:numPr>
        <w:jc w:val="both"/>
        <w:rPr>
          <w:u w:val="single"/>
        </w:rPr>
      </w:pPr>
      <w:r w:rsidRPr="00FF5B4E">
        <w:t>z </w:t>
      </w:r>
      <w:r w:rsidRPr="00FF5B4E">
        <w:rPr>
          <w:b/>
        </w:rPr>
        <w:t>Ministerstva průmyslu a obchodu</w:t>
      </w:r>
      <w:r w:rsidRPr="00B42E0B">
        <w:t xml:space="preserve"> na výkon činnosti Jednotných kontaktních míst</w:t>
      </w:r>
      <w:r>
        <w:t xml:space="preserve"> ve výši 900,0 tis. Kč;</w:t>
      </w:r>
      <w:r w:rsidRPr="00B42E0B">
        <w:t xml:space="preserve"> </w:t>
      </w:r>
    </w:p>
    <w:p w:rsidR="00036604" w:rsidRPr="00062611" w:rsidRDefault="00036604" w:rsidP="00FF5B4E">
      <w:pPr>
        <w:numPr>
          <w:ilvl w:val="0"/>
          <w:numId w:val="8"/>
        </w:numPr>
        <w:jc w:val="both"/>
        <w:rPr>
          <w:u w:val="single"/>
        </w:rPr>
      </w:pPr>
      <w:r w:rsidRPr="00FF5B4E">
        <w:t>z</w:t>
      </w:r>
      <w:r w:rsidRPr="00FF5B4E">
        <w:rPr>
          <w:b/>
        </w:rPr>
        <w:t xml:space="preserve">  Ministerstva školství, mládeže a tělovýchovy </w:t>
      </w:r>
      <w:r w:rsidRPr="00062611">
        <w:t>celkem ve výši</w:t>
      </w:r>
      <w:r>
        <w:rPr>
          <w:b/>
        </w:rPr>
        <w:t xml:space="preserve"> 3 654,1 tis. Kč, </w:t>
      </w:r>
      <w:r w:rsidRPr="00062611">
        <w:t>z toho</w:t>
      </w:r>
      <w:r>
        <w:rPr>
          <w:b/>
        </w:rPr>
        <w:t xml:space="preserve"> </w:t>
      </w:r>
      <w:r w:rsidRPr="00062611">
        <w:t>na</w:t>
      </w:r>
      <w:r>
        <w:t xml:space="preserve"> projekt rozšíření výukových kapacit ve výši 2 367,2 tis. Kč, na projekty Podpory vzdělávání v jazycích národnostních menšin ve výši 530,0 tis. Kč, na program P</w:t>
      </w:r>
      <w:r w:rsidRPr="00B42E0B">
        <w:t>odpor</w:t>
      </w:r>
      <w:r>
        <w:t>a</w:t>
      </w:r>
      <w:r w:rsidRPr="00B42E0B">
        <w:t xml:space="preserve"> </w:t>
      </w:r>
      <w:r>
        <w:t xml:space="preserve">integrace cizinců 140,5 tis. Kč, na Program primární prevence rizikového chování </w:t>
      </w:r>
      <w:r w:rsidRPr="00410D28">
        <w:t>251,8</w:t>
      </w:r>
      <w:r>
        <w:t xml:space="preserve"> tis. Kč, na zabezpečení školských zařízení ve výši 114,6 tis. Kč, na Podporu soutěží a přehlídek 50,0 tis. Kč a jako odměna v rámci Cena LABEL 2015 ve výši 200,0 tis. Kč;</w:t>
      </w:r>
    </w:p>
    <w:p w:rsidR="00036604" w:rsidRPr="00062611" w:rsidRDefault="00036604" w:rsidP="00FF5B4E">
      <w:pPr>
        <w:numPr>
          <w:ilvl w:val="0"/>
          <w:numId w:val="8"/>
        </w:numPr>
        <w:jc w:val="both"/>
        <w:rPr>
          <w:u w:val="single"/>
        </w:rPr>
      </w:pPr>
      <w:r w:rsidRPr="00A37D0D">
        <w:t>z </w:t>
      </w:r>
      <w:r w:rsidRPr="00062611">
        <w:rPr>
          <w:b/>
        </w:rPr>
        <w:t>Ministerstva kultury</w:t>
      </w:r>
      <w:r w:rsidRPr="00A37D0D">
        <w:t xml:space="preserve"> </w:t>
      </w:r>
      <w:r>
        <w:t xml:space="preserve">celkem ve výši </w:t>
      </w:r>
      <w:r w:rsidRPr="00062611">
        <w:rPr>
          <w:b/>
        </w:rPr>
        <w:t>2 108,0 tis. Kč</w:t>
      </w:r>
      <w:r>
        <w:t xml:space="preserve">, z toho na Program regenerace městských památkových rezervací a zón ve výši 1 765,0 tis. Kč, na odborné kolokvium ve výši 90,0 tis. Kč, na kulturní aktivity ve výši 245,0 tis. Kč a </w:t>
      </w:r>
      <w:r w:rsidRPr="00A37D0D">
        <w:t xml:space="preserve">na MLK </w:t>
      </w:r>
      <w:r>
        <w:t>8</w:t>
      </w:r>
      <w:r w:rsidRPr="00A37D0D">
        <w:t>,0 tis. Kč;</w:t>
      </w:r>
    </w:p>
    <w:p w:rsidR="00036604" w:rsidRPr="00062611" w:rsidRDefault="00036604" w:rsidP="00FF5B4E">
      <w:pPr>
        <w:numPr>
          <w:ilvl w:val="0"/>
          <w:numId w:val="8"/>
        </w:numPr>
        <w:jc w:val="both"/>
        <w:rPr>
          <w:u w:val="single"/>
        </w:rPr>
      </w:pPr>
      <w:r w:rsidRPr="00062611">
        <w:t xml:space="preserve">z </w:t>
      </w:r>
      <w:r w:rsidRPr="00062611">
        <w:rPr>
          <w:b/>
        </w:rPr>
        <w:t>Ministerstv</w:t>
      </w:r>
      <w:r>
        <w:rPr>
          <w:b/>
        </w:rPr>
        <w:t xml:space="preserve">a pro místní </w:t>
      </w:r>
      <w:r w:rsidRPr="00062611">
        <w:rPr>
          <w:b/>
        </w:rPr>
        <w:t>rozvoj</w:t>
      </w:r>
      <w:r>
        <w:t xml:space="preserve"> celkem ve výši </w:t>
      </w:r>
      <w:r w:rsidRPr="00062611">
        <w:rPr>
          <w:b/>
        </w:rPr>
        <w:t>1 201,9 tis. Kč</w:t>
      </w:r>
      <w:r>
        <w:t xml:space="preserve"> na úhradu účelně vynaložených nákladů na pohřbení zemřelého dle § 5 odst. 1 a 4 zákona č. 256/2001 Sb., o pohřebnictví ve znění pozdějších </w:t>
      </w:r>
      <w:r w:rsidRPr="00EE71CD">
        <w:t>předpisů</w:t>
      </w:r>
      <w:r>
        <w:t>;</w:t>
      </w:r>
    </w:p>
    <w:p w:rsidR="00036604" w:rsidRPr="00062611" w:rsidRDefault="00036604" w:rsidP="00FF5B4E">
      <w:pPr>
        <w:numPr>
          <w:ilvl w:val="0"/>
          <w:numId w:val="8"/>
        </w:numPr>
        <w:jc w:val="both"/>
        <w:rPr>
          <w:u w:val="single"/>
        </w:rPr>
      </w:pPr>
      <w:r>
        <w:t>z </w:t>
      </w:r>
      <w:r w:rsidRPr="00062611">
        <w:rPr>
          <w:b/>
        </w:rPr>
        <w:t>Ministerstva zdravotnictví</w:t>
      </w:r>
      <w:r>
        <w:t xml:space="preserve"> ve výši </w:t>
      </w:r>
      <w:r w:rsidRPr="00062611">
        <w:rPr>
          <w:b/>
        </w:rPr>
        <w:t>468,0 tis. Kč</w:t>
      </w:r>
      <w:r>
        <w:t xml:space="preserve"> na specializační vzdělávání zdravotnických pracovníků; </w:t>
      </w:r>
    </w:p>
    <w:p w:rsidR="00036604" w:rsidRPr="006E7E7A" w:rsidRDefault="00036604" w:rsidP="00FF5B4E">
      <w:pPr>
        <w:numPr>
          <w:ilvl w:val="0"/>
          <w:numId w:val="8"/>
        </w:numPr>
        <w:jc w:val="both"/>
        <w:rPr>
          <w:u w:val="single"/>
        </w:rPr>
      </w:pPr>
      <w:r>
        <w:t>z </w:t>
      </w:r>
      <w:r w:rsidRPr="00062611">
        <w:rPr>
          <w:b/>
        </w:rPr>
        <w:t>Úřadu vlády</w:t>
      </w:r>
      <w:r>
        <w:t xml:space="preserve"> na podporu terénní práce ve výši </w:t>
      </w:r>
      <w:r w:rsidRPr="00062611">
        <w:rPr>
          <w:b/>
        </w:rPr>
        <w:t>350,0 tis. Kč</w:t>
      </w:r>
      <w:r>
        <w:rPr>
          <w:b/>
        </w:rPr>
        <w:t>.</w:t>
      </w:r>
      <w:r>
        <w:t xml:space="preserve"> </w:t>
      </w:r>
    </w:p>
    <w:p w:rsidR="00036604" w:rsidRDefault="00036604" w:rsidP="006E7E7A">
      <w:pPr>
        <w:ind w:left="360"/>
        <w:jc w:val="both"/>
      </w:pPr>
      <w:r>
        <w:t>V přijatých transferech jsou zahrnuty rovněž vratky přeplatků dávek sociální péče a vymoženého výživného celkem ve výši 5,4 tis. Kč.</w:t>
      </w:r>
    </w:p>
    <w:p w:rsidR="00036604" w:rsidRPr="0003575A" w:rsidRDefault="00036604" w:rsidP="005250DA">
      <w:pPr>
        <w:jc w:val="both"/>
        <w:rPr>
          <w:b/>
          <w:bCs/>
          <w:color w:val="3366FF"/>
        </w:rPr>
      </w:pPr>
    </w:p>
    <w:p w:rsidR="00036604" w:rsidRDefault="00036604" w:rsidP="005250DA">
      <w:pPr>
        <w:jc w:val="both"/>
        <w:rPr>
          <w:bCs/>
        </w:rPr>
      </w:pPr>
      <w:r w:rsidRPr="006E7E7A">
        <w:rPr>
          <w:b/>
          <w:bCs/>
          <w:u w:val="single"/>
        </w:rPr>
        <w:t xml:space="preserve">Investiční transfery </w:t>
      </w:r>
      <w:r w:rsidRPr="006E7E7A">
        <w:rPr>
          <w:u w:val="single"/>
        </w:rPr>
        <w:t xml:space="preserve"> </w:t>
      </w:r>
      <w:r w:rsidRPr="006E7E7A">
        <w:rPr>
          <w:b/>
          <w:u w:val="single"/>
        </w:rPr>
        <w:t>ze státního rozpočtu</w:t>
      </w:r>
      <w:r w:rsidRPr="00826D84">
        <w:rPr>
          <w:b/>
          <w:bCs/>
        </w:rPr>
        <w:t xml:space="preserve"> </w:t>
      </w:r>
      <w:r w:rsidRPr="006441C3">
        <w:rPr>
          <w:bCs/>
        </w:rPr>
        <w:t>k 3</w:t>
      </w:r>
      <w:r>
        <w:rPr>
          <w:bCs/>
        </w:rPr>
        <w:t>1</w:t>
      </w:r>
      <w:r w:rsidRPr="006441C3">
        <w:rPr>
          <w:bCs/>
        </w:rPr>
        <w:t>. </w:t>
      </w:r>
      <w:r>
        <w:rPr>
          <w:bCs/>
        </w:rPr>
        <w:t>12</w:t>
      </w:r>
      <w:r w:rsidRPr="006441C3">
        <w:rPr>
          <w:bCs/>
        </w:rPr>
        <w:t xml:space="preserve">. </w:t>
      </w:r>
      <w:r>
        <w:rPr>
          <w:bCs/>
        </w:rPr>
        <w:t>2015</w:t>
      </w:r>
      <w:r w:rsidRPr="006441C3">
        <w:rPr>
          <w:b/>
          <w:bCs/>
        </w:rPr>
        <w:t xml:space="preserve"> </w:t>
      </w:r>
      <w:r>
        <w:rPr>
          <w:b/>
          <w:bCs/>
        </w:rPr>
        <w:t xml:space="preserve"> </w:t>
      </w:r>
      <w:r w:rsidRPr="005E50D1">
        <w:rPr>
          <w:bCs/>
        </w:rPr>
        <w:t>činily</w:t>
      </w:r>
      <w:r>
        <w:rPr>
          <w:bCs/>
        </w:rPr>
        <w:t xml:space="preserve"> 312 085,3</w:t>
      </w:r>
      <w:r w:rsidRPr="006441C3">
        <w:rPr>
          <w:bCs/>
        </w:rPr>
        <w:t> tis. Kč</w:t>
      </w:r>
      <w:r>
        <w:rPr>
          <w:bCs/>
        </w:rPr>
        <w:t xml:space="preserve">. V rozhodující míře je tvoří </w:t>
      </w:r>
      <w:r w:rsidRPr="006441C3">
        <w:rPr>
          <w:bCs/>
        </w:rPr>
        <w:t>dotace poskytnut</w:t>
      </w:r>
      <w:r>
        <w:rPr>
          <w:bCs/>
        </w:rPr>
        <w:t>é na základě</w:t>
      </w:r>
      <w:r w:rsidRPr="006441C3">
        <w:rPr>
          <w:bCs/>
        </w:rPr>
        <w:t xml:space="preserve"> Rozhodnutí Ministerstva životního prostředí na spolufinancování akcí realizovaných městskými částmi v rámci Operačního programu Životní prostředí (OPŽP</w:t>
      </w:r>
      <w:r>
        <w:rPr>
          <w:bCs/>
        </w:rPr>
        <w:t>)</w:t>
      </w:r>
      <w:r w:rsidRPr="006441C3">
        <w:rPr>
          <w:bCs/>
        </w:rPr>
        <w:t>, a to na předfinancování výdajů, které mají být kryty prostředky z </w:t>
      </w:r>
      <w:r w:rsidRPr="00CD3804">
        <w:rPr>
          <w:bCs/>
        </w:rPr>
        <w:t>rozpočtu</w:t>
      </w:r>
      <w:r w:rsidRPr="006441C3">
        <w:rPr>
          <w:bCs/>
        </w:rPr>
        <w:t xml:space="preserve"> Evropské unie. </w:t>
      </w:r>
      <w:r>
        <w:rPr>
          <w:bCs/>
        </w:rPr>
        <w:t>P</w:t>
      </w:r>
      <w:r w:rsidRPr="006441C3">
        <w:rPr>
          <w:bCs/>
        </w:rPr>
        <w:t xml:space="preserve">řehled akcí </w:t>
      </w:r>
      <w:r>
        <w:rPr>
          <w:bCs/>
        </w:rPr>
        <w:t>a výše dotací p</w:t>
      </w:r>
      <w:r w:rsidRPr="006441C3">
        <w:rPr>
          <w:bCs/>
        </w:rPr>
        <w:t>oskytnut</w:t>
      </w:r>
      <w:r>
        <w:rPr>
          <w:bCs/>
        </w:rPr>
        <w:t>ých na ně</w:t>
      </w:r>
      <w:r w:rsidRPr="006441C3">
        <w:rPr>
          <w:bCs/>
        </w:rPr>
        <w:t xml:space="preserve"> k</w:t>
      </w:r>
      <w:r>
        <w:rPr>
          <w:bCs/>
        </w:rPr>
        <w:t> </w:t>
      </w:r>
      <w:r w:rsidRPr="006441C3">
        <w:rPr>
          <w:bCs/>
        </w:rPr>
        <w:t>3</w:t>
      </w:r>
      <w:r>
        <w:rPr>
          <w:bCs/>
        </w:rPr>
        <w:t xml:space="preserve">1. 12. 2015 </w:t>
      </w:r>
      <w:r w:rsidRPr="006441C3">
        <w:rPr>
          <w:bCs/>
        </w:rPr>
        <w:t xml:space="preserve">ze státního rozpočtu a </w:t>
      </w:r>
      <w:r>
        <w:rPr>
          <w:bCs/>
        </w:rPr>
        <w:t xml:space="preserve">ze </w:t>
      </w:r>
      <w:r w:rsidRPr="006441C3">
        <w:rPr>
          <w:bCs/>
        </w:rPr>
        <w:t>Státního f</w:t>
      </w:r>
      <w:r>
        <w:rPr>
          <w:bCs/>
        </w:rPr>
        <w:t>ondu životního prostředí</w:t>
      </w:r>
      <w:r w:rsidRPr="006441C3">
        <w:rPr>
          <w:bCs/>
        </w:rPr>
        <w:t xml:space="preserve"> je uveden u následujícího odstavce - Transfery ze státních fondů.</w:t>
      </w:r>
      <w:r>
        <w:rPr>
          <w:bCs/>
        </w:rPr>
        <w:t xml:space="preserve"> </w:t>
      </w:r>
    </w:p>
    <w:p w:rsidR="00036604" w:rsidRDefault="00036604" w:rsidP="005250DA">
      <w:pPr>
        <w:jc w:val="both"/>
      </w:pPr>
    </w:p>
    <w:p w:rsidR="00036604" w:rsidRDefault="00036604" w:rsidP="005250DA">
      <w:pPr>
        <w:numPr>
          <w:ilvl w:val="0"/>
          <w:numId w:val="1"/>
        </w:numPr>
        <w:jc w:val="both"/>
        <w:rPr>
          <w:b/>
          <w:u w:val="single"/>
        </w:rPr>
      </w:pPr>
      <w:r w:rsidRPr="004C10D3">
        <w:rPr>
          <w:b/>
          <w:u w:val="single"/>
        </w:rPr>
        <w:t>Transfery ze státních fondů</w:t>
      </w:r>
    </w:p>
    <w:p w:rsidR="00036604" w:rsidRPr="004C10D3" w:rsidRDefault="00036604" w:rsidP="005250DA">
      <w:pPr>
        <w:ind w:left="360"/>
        <w:jc w:val="both"/>
        <w:rPr>
          <w:b/>
          <w:u w:val="single"/>
        </w:rPr>
      </w:pPr>
    </w:p>
    <w:p w:rsidR="00036604" w:rsidRDefault="00036604" w:rsidP="005250DA">
      <w:pPr>
        <w:jc w:val="both"/>
      </w:pPr>
      <w:r w:rsidRPr="006E7E7A">
        <w:t xml:space="preserve">Neinvestiční i investiční transfery poskytnuté ze státních fondů v roce 2015 celkem ve výši 19 741,9 tis. Kč byly </w:t>
      </w:r>
      <w:r w:rsidRPr="00066080">
        <w:t xml:space="preserve">uvolněny </w:t>
      </w:r>
      <w:r w:rsidRPr="00066080">
        <w:rPr>
          <w:u w:val="single"/>
        </w:rPr>
        <w:t>ze Státního fondu životního prostředí (SFŽP)</w:t>
      </w:r>
      <w:r w:rsidRPr="006E7E7A">
        <w:t xml:space="preserve"> na akce městských částí realizované v rámci OPŽP.</w:t>
      </w:r>
    </w:p>
    <w:p w:rsidR="00036604" w:rsidRDefault="00036604" w:rsidP="006B3247">
      <w:pPr>
        <w:jc w:val="both"/>
        <w:rPr>
          <w:highlight w:val="darkYellow"/>
        </w:rPr>
      </w:pPr>
    </w:p>
    <w:p w:rsidR="00036604" w:rsidRDefault="00036604" w:rsidP="006B3247">
      <w:pPr>
        <w:jc w:val="both"/>
        <w:rPr>
          <w:highlight w:val="darkYellow"/>
        </w:rPr>
        <w:sectPr w:rsidR="00036604" w:rsidSect="00556FB1">
          <w:footerReference w:type="default" r:id="rId8"/>
          <w:pgSz w:w="11906" w:h="16838"/>
          <w:pgMar w:top="1417" w:right="1417" w:bottom="1417" w:left="1417" w:header="708" w:footer="708" w:gutter="0"/>
          <w:pgNumType w:start="6"/>
          <w:cols w:space="708"/>
          <w:docGrid w:linePitch="360"/>
        </w:sectPr>
      </w:pPr>
    </w:p>
    <w:p w:rsidR="00036604" w:rsidRDefault="00036604" w:rsidP="006B3247">
      <w:pPr>
        <w:jc w:val="both"/>
        <w:rPr>
          <w:highlight w:val="darkYellow"/>
        </w:rPr>
      </w:pPr>
    </w:p>
    <w:p w:rsidR="00036604" w:rsidRPr="006B3247" w:rsidRDefault="00036604" w:rsidP="006B3247">
      <w:pPr>
        <w:jc w:val="both"/>
        <w:rPr>
          <w:highlight w:val="darkYellow"/>
        </w:rPr>
      </w:pPr>
    </w:p>
    <w:tbl>
      <w:tblPr>
        <w:tblW w:w="9406" w:type="dxa"/>
        <w:tblInd w:w="55" w:type="dxa"/>
        <w:tblCellMar>
          <w:left w:w="70" w:type="dxa"/>
          <w:right w:w="70" w:type="dxa"/>
        </w:tblCellMar>
        <w:tblLook w:val="0000"/>
      </w:tblPr>
      <w:tblGrid>
        <w:gridCol w:w="9406"/>
      </w:tblGrid>
      <w:tr w:rsidR="00036604" w:rsidRPr="00F74C28" w:rsidTr="00141B8A">
        <w:trPr>
          <w:trHeight w:val="300"/>
        </w:trPr>
        <w:tc>
          <w:tcPr>
            <w:tcW w:w="9406" w:type="dxa"/>
            <w:tcBorders>
              <w:top w:val="nil"/>
              <w:left w:val="nil"/>
              <w:bottom w:val="nil"/>
              <w:right w:val="nil"/>
            </w:tcBorders>
            <w:noWrap/>
            <w:vAlign w:val="bottom"/>
          </w:tcPr>
          <w:p w:rsidR="00036604" w:rsidRPr="00F74C28" w:rsidRDefault="00036604" w:rsidP="00405451">
            <w:pPr>
              <w:rPr>
                <w:rFonts w:ascii="Arial" w:hAnsi="Arial" w:cs="Arial"/>
                <w:b/>
                <w:bCs/>
                <w:sz w:val="22"/>
                <w:szCs w:val="22"/>
                <w:u w:val="single"/>
              </w:rPr>
            </w:pPr>
            <w:r>
              <w:rPr>
                <w:rFonts w:ascii="Arial" w:hAnsi="Arial" w:cs="Arial"/>
                <w:b/>
                <w:bCs/>
                <w:sz w:val="22"/>
                <w:szCs w:val="22"/>
                <w:u w:val="single"/>
              </w:rPr>
              <w:t>Přehled akcí MČ</w:t>
            </w:r>
            <w:r w:rsidRPr="00F74C28">
              <w:rPr>
                <w:rFonts w:ascii="Arial" w:hAnsi="Arial" w:cs="Arial"/>
                <w:b/>
                <w:bCs/>
                <w:sz w:val="22"/>
                <w:szCs w:val="22"/>
                <w:u w:val="single"/>
              </w:rPr>
              <w:t xml:space="preserve"> realizovaných v rámci OPŽP, na něž byly k 3</w:t>
            </w:r>
            <w:r>
              <w:rPr>
                <w:rFonts w:ascii="Arial" w:hAnsi="Arial" w:cs="Arial"/>
                <w:b/>
                <w:bCs/>
                <w:sz w:val="22"/>
                <w:szCs w:val="22"/>
                <w:u w:val="single"/>
              </w:rPr>
              <w:t>1</w:t>
            </w:r>
            <w:r w:rsidRPr="00F74C28">
              <w:rPr>
                <w:rFonts w:ascii="Arial" w:hAnsi="Arial" w:cs="Arial"/>
                <w:b/>
                <w:bCs/>
                <w:sz w:val="22"/>
                <w:szCs w:val="22"/>
                <w:u w:val="single"/>
              </w:rPr>
              <w:t>.</w:t>
            </w:r>
            <w:r>
              <w:rPr>
                <w:rFonts w:ascii="Arial" w:hAnsi="Arial" w:cs="Arial"/>
                <w:b/>
                <w:bCs/>
                <w:sz w:val="22"/>
                <w:szCs w:val="22"/>
                <w:u w:val="single"/>
              </w:rPr>
              <w:t>12</w:t>
            </w:r>
            <w:r w:rsidRPr="00F74C28">
              <w:rPr>
                <w:rFonts w:ascii="Arial" w:hAnsi="Arial" w:cs="Arial"/>
                <w:b/>
                <w:bCs/>
                <w:sz w:val="22"/>
                <w:szCs w:val="22"/>
                <w:u w:val="single"/>
              </w:rPr>
              <w:t>. 201</w:t>
            </w:r>
            <w:r>
              <w:rPr>
                <w:rFonts w:ascii="Arial" w:hAnsi="Arial" w:cs="Arial"/>
                <w:b/>
                <w:bCs/>
                <w:sz w:val="22"/>
                <w:szCs w:val="22"/>
                <w:u w:val="single"/>
              </w:rPr>
              <w:t>5</w:t>
            </w:r>
            <w:r w:rsidRPr="00F74C28">
              <w:rPr>
                <w:rFonts w:ascii="Arial" w:hAnsi="Arial" w:cs="Arial"/>
                <w:b/>
                <w:bCs/>
                <w:sz w:val="22"/>
                <w:szCs w:val="22"/>
                <w:u w:val="single"/>
              </w:rPr>
              <w:t xml:space="preserve"> uvolněny dotace</w:t>
            </w:r>
          </w:p>
        </w:tc>
      </w:tr>
    </w:tbl>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pPr>
    </w:p>
    <w:tbl>
      <w:tblPr>
        <w:tblW w:w="15563" w:type="dxa"/>
        <w:tblInd w:w="55" w:type="dxa"/>
        <w:tblCellMar>
          <w:left w:w="70" w:type="dxa"/>
          <w:right w:w="70" w:type="dxa"/>
        </w:tblCellMar>
        <w:tblLook w:val="00A0"/>
      </w:tblPr>
      <w:tblGrid>
        <w:gridCol w:w="1338"/>
        <w:gridCol w:w="551"/>
        <w:gridCol w:w="2557"/>
        <w:gridCol w:w="585"/>
        <w:gridCol w:w="1044"/>
        <w:gridCol w:w="1422"/>
        <w:gridCol w:w="739"/>
        <w:gridCol w:w="792"/>
        <w:gridCol w:w="1198"/>
        <w:gridCol w:w="705"/>
        <w:gridCol w:w="864"/>
        <w:gridCol w:w="1293"/>
        <w:gridCol w:w="585"/>
        <w:gridCol w:w="851"/>
        <w:gridCol w:w="1041"/>
      </w:tblGrid>
      <w:tr w:rsidR="00036604" w:rsidRPr="009115ED" w:rsidTr="00442DA8">
        <w:trPr>
          <w:trHeight w:val="600"/>
          <w:tblHeader/>
        </w:trPr>
        <w:tc>
          <w:tcPr>
            <w:tcW w:w="1338" w:type="dxa"/>
            <w:tcBorders>
              <w:top w:val="single" w:sz="4" w:space="0" w:color="auto"/>
              <w:left w:val="single" w:sz="4" w:space="0" w:color="auto"/>
              <w:bottom w:val="nil"/>
              <w:right w:val="single" w:sz="4" w:space="0" w:color="auto"/>
            </w:tcBorders>
            <w:shd w:val="clear" w:color="000000" w:fill="F2F2F2"/>
            <w:noWrap/>
            <w:vAlign w:val="bottom"/>
          </w:tcPr>
          <w:p w:rsidR="00036604" w:rsidRPr="009115ED" w:rsidRDefault="00036604">
            <w:pPr>
              <w:rPr>
                <w:rFonts w:ascii="Arial" w:hAnsi="Arial" w:cs="Arial"/>
                <w:b/>
                <w:bCs/>
                <w:sz w:val="18"/>
                <w:szCs w:val="18"/>
              </w:rPr>
            </w:pPr>
            <w:r w:rsidRPr="009115ED">
              <w:rPr>
                <w:rFonts w:ascii="Arial" w:hAnsi="Arial" w:cs="Arial"/>
                <w:b/>
                <w:bCs/>
                <w:sz w:val="18"/>
                <w:szCs w:val="18"/>
              </w:rPr>
              <w:t xml:space="preserve">pro MČ </w:t>
            </w:r>
          </w:p>
        </w:tc>
        <w:tc>
          <w:tcPr>
            <w:tcW w:w="551" w:type="dxa"/>
            <w:tcBorders>
              <w:top w:val="single" w:sz="4" w:space="0" w:color="auto"/>
              <w:left w:val="nil"/>
              <w:bottom w:val="nil"/>
              <w:right w:val="single" w:sz="4" w:space="0" w:color="auto"/>
            </w:tcBorders>
            <w:shd w:val="clear" w:color="000000" w:fill="F2F2F2"/>
            <w:noWrap/>
            <w:vAlign w:val="bottom"/>
          </w:tcPr>
          <w:p w:rsidR="00036604" w:rsidRPr="009115ED" w:rsidRDefault="00036604">
            <w:pPr>
              <w:rPr>
                <w:rFonts w:ascii="Arial" w:hAnsi="Arial" w:cs="Arial"/>
                <w:b/>
                <w:bCs/>
                <w:sz w:val="18"/>
                <w:szCs w:val="18"/>
              </w:rPr>
            </w:pPr>
            <w:r w:rsidRPr="009115ED">
              <w:rPr>
                <w:rFonts w:ascii="Arial" w:hAnsi="Arial" w:cs="Arial"/>
                <w:b/>
                <w:bCs/>
                <w:sz w:val="18"/>
                <w:szCs w:val="18"/>
              </w:rPr>
              <w:t>ORJ</w:t>
            </w:r>
          </w:p>
        </w:tc>
        <w:tc>
          <w:tcPr>
            <w:tcW w:w="2557" w:type="dxa"/>
            <w:tcBorders>
              <w:top w:val="single" w:sz="4" w:space="0" w:color="auto"/>
              <w:left w:val="nil"/>
              <w:bottom w:val="nil"/>
              <w:right w:val="single" w:sz="4" w:space="0" w:color="auto"/>
            </w:tcBorders>
            <w:shd w:val="clear" w:color="000000" w:fill="F2F2F2"/>
            <w:noWrap/>
            <w:vAlign w:val="bottom"/>
          </w:tcPr>
          <w:p w:rsidR="00036604" w:rsidRPr="009115ED" w:rsidRDefault="00036604">
            <w:pPr>
              <w:jc w:val="center"/>
              <w:rPr>
                <w:rFonts w:ascii="Arial" w:hAnsi="Arial" w:cs="Arial"/>
                <w:b/>
                <w:bCs/>
                <w:sz w:val="18"/>
                <w:szCs w:val="18"/>
              </w:rPr>
            </w:pPr>
            <w:r w:rsidRPr="009115ED">
              <w:rPr>
                <w:rFonts w:ascii="Arial" w:hAnsi="Arial" w:cs="Arial"/>
                <w:b/>
                <w:bCs/>
                <w:sz w:val="18"/>
                <w:szCs w:val="18"/>
              </w:rPr>
              <w:t>Účel</w:t>
            </w:r>
          </w:p>
        </w:tc>
        <w:tc>
          <w:tcPr>
            <w:tcW w:w="3050" w:type="dxa"/>
            <w:gridSpan w:val="3"/>
            <w:tcBorders>
              <w:top w:val="single" w:sz="4" w:space="0" w:color="auto"/>
              <w:left w:val="nil"/>
              <w:bottom w:val="single" w:sz="4" w:space="0" w:color="auto"/>
              <w:right w:val="single" w:sz="4" w:space="0" w:color="000000"/>
            </w:tcBorders>
            <w:shd w:val="clear" w:color="000000" w:fill="F2F2F2"/>
            <w:vAlign w:val="bottom"/>
          </w:tcPr>
          <w:p w:rsidR="00036604" w:rsidRPr="009115ED" w:rsidRDefault="00036604">
            <w:pPr>
              <w:jc w:val="center"/>
              <w:rPr>
                <w:rFonts w:ascii="Arial" w:hAnsi="Arial" w:cs="Arial"/>
                <w:b/>
                <w:bCs/>
                <w:sz w:val="18"/>
                <w:szCs w:val="18"/>
              </w:rPr>
            </w:pPr>
            <w:r w:rsidRPr="009115ED">
              <w:rPr>
                <w:rFonts w:ascii="Arial" w:hAnsi="Arial" w:cs="Arial"/>
                <w:b/>
                <w:bCs/>
                <w:sz w:val="18"/>
                <w:szCs w:val="18"/>
              </w:rPr>
              <w:t xml:space="preserve"> pol. 4216 příjmy HMP, pol. 5347  vl. HMP výdaje </w:t>
            </w:r>
          </w:p>
        </w:tc>
        <w:tc>
          <w:tcPr>
            <w:tcW w:w="2729" w:type="dxa"/>
            <w:gridSpan w:val="3"/>
            <w:tcBorders>
              <w:top w:val="single" w:sz="4" w:space="0" w:color="auto"/>
              <w:left w:val="nil"/>
              <w:bottom w:val="single" w:sz="4" w:space="0" w:color="auto"/>
              <w:right w:val="single" w:sz="4" w:space="0" w:color="000000"/>
            </w:tcBorders>
            <w:shd w:val="clear" w:color="000000" w:fill="F2F2F2"/>
            <w:vAlign w:val="bottom"/>
          </w:tcPr>
          <w:p w:rsidR="00036604" w:rsidRPr="009115ED" w:rsidRDefault="00036604">
            <w:pPr>
              <w:jc w:val="center"/>
              <w:rPr>
                <w:rFonts w:ascii="Arial" w:hAnsi="Arial" w:cs="Arial"/>
                <w:b/>
                <w:bCs/>
                <w:sz w:val="18"/>
                <w:szCs w:val="18"/>
              </w:rPr>
            </w:pPr>
            <w:r w:rsidRPr="009115ED">
              <w:rPr>
                <w:rFonts w:ascii="Arial" w:hAnsi="Arial" w:cs="Arial"/>
                <w:b/>
                <w:bCs/>
                <w:sz w:val="18"/>
                <w:szCs w:val="18"/>
              </w:rPr>
              <w:t xml:space="preserve"> pol. 4116 příjmy HMP, pol. 5347  vl. HMP výdaje </w:t>
            </w:r>
          </w:p>
        </w:tc>
        <w:tc>
          <w:tcPr>
            <w:tcW w:w="2862" w:type="dxa"/>
            <w:gridSpan w:val="3"/>
            <w:tcBorders>
              <w:top w:val="single" w:sz="4" w:space="0" w:color="auto"/>
              <w:left w:val="nil"/>
              <w:bottom w:val="single" w:sz="4" w:space="0" w:color="auto"/>
              <w:right w:val="single" w:sz="4" w:space="0" w:color="000000"/>
            </w:tcBorders>
            <w:shd w:val="clear" w:color="000000" w:fill="F2F2F2"/>
            <w:vAlign w:val="bottom"/>
          </w:tcPr>
          <w:p w:rsidR="00036604" w:rsidRPr="009115ED" w:rsidRDefault="00036604">
            <w:pPr>
              <w:jc w:val="center"/>
              <w:rPr>
                <w:rFonts w:ascii="Arial" w:hAnsi="Arial" w:cs="Arial"/>
                <w:b/>
                <w:bCs/>
                <w:sz w:val="18"/>
                <w:szCs w:val="18"/>
              </w:rPr>
            </w:pPr>
            <w:r w:rsidRPr="009115ED">
              <w:rPr>
                <w:rFonts w:ascii="Arial" w:hAnsi="Arial" w:cs="Arial"/>
                <w:b/>
                <w:bCs/>
                <w:sz w:val="18"/>
                <w:szCs w:val="18"/>
              </w:rPr>
              <w:t xml:space="preserve"> pol. 4213 příjmy HMP, pol. 5347  vl. HMP výdaje </w:t>
            </w:r>
          </w:p>
        </w:tc>
        <w:tc>
          <w:tcPr>
            <w:tcW w:w="2476" w:type="dxa"/>
            <w:gridSpan w:val="3"/>
            <w:tcBorders>
              <w:top w:val="single" w:sz="4" w:space="0" w:color="auto"/>
              <w:left w:val="nil"/>
              <w:bottom w:val="single" w:sz="4" w:space="0" w:color="auto"/>
              <w:right w:val="single" w:sz="4" w:space="0" w:color="000000"/>
            </w:tcBorders>
            <w:shd w:val="clear" w:color="000000" w:fill="F2F2F2"/>
            <w:vAlign w:val="bottom"/>
          </w:tcPr>
          <w:p w:rsidR="00036604" w:rsidRPr="009115ED" w:rsidRDefault="00036604">
            <w:pPr>
              <w:jc w:val="center"/>
              <w:rPr>
                <w:rFonts w:ascii="Arial" w:hAnsi="Arial" w:cs="Arial"/>
                <w:b/>
                <w:bCs/>
                <w:sz w:val="18"/>
                <w:szCs w:val="18"/>
              </w:rPr>
            </w:pPr>
            <w:r w:rsidRPr="009115ED">
              <w:rPr>
                <w:rFonts w:ascii="Arial" w:hAnsi="Arial" w:cs="Arial"/>
                <w:b/>
                <w:bCs/>
                <w:sz w:val="18"/>
                <w:szCs w:val="18"/>
              </w:rPr>
              <w:t xml:space="preserve"> pol. 4113 příjmy HMP, pol. 5347  vl. HMP výdaje </w:t>
            </w:r>
          </w:p>
        </w:tc>
      </w:tr>
      <w:tr w:rsidR="00036604" w:rsidTr="00442DA8">
        <w:trPr>
          <w:trHeight w:val="450"/>
          <w:tblHeader/>
        </w:trPr>
        <w:tc>
          <w:tcPr>
            <w:tcW w:w="1338" w:type="dxa"/>
            <w:tcBorders>
              <w:top w:val="nil"/>
              <w:left w:val="single" w:sz="4" w:space="0" w:color="auto"/>
              <w:bottom w:val="single" w:sz="4" w:space="0" w:color="auto"/>
              <w:right w:val="single" w:sz="4" w:space="0" w:color="auto"/>
            </w:tcBorders>
            <w:shd w:val="clear" w:color="000000" w:fill="F2F2F2"/>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551"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ÚZ</w:t>
            </w:r>
          </w:p>
        </w:tc>
        <w:tc>
          <w:tcPr>
            <w:tcW w:w="1044"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422"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skut. (v Kč)</w:t>
            </w:r>
          </w:p>
        </w:tc>
        <w:tc>
          <w:tcPr>
            <w:tcW w:w="739"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ÚZ</w:t>
            </w:r>
          </w:p>
        </w:tc>
        <w:tc>
          <w:tcPr>
            <w:tcW w:w="792"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198"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skut. (v Kč)</w:t>
            </w:r>
          </w:p>
        </w:tc>
        <w:tc>
          <w:tcPr>
            <w:tcW w:w="705"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ÚZ</w:t>
            </w:r>
          </w:p>
        </w:tc>
        <w:tc>
          <w:tcPr>
            <w:tcW w:w="864"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293"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skut. (v Kč)</w:t>
            </w:r>
          </w:p>
        </w:tc>
        <w:tc>
          <w:tcPr>
            <w:tcW w:w="584"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ÚZ</w:t>
            </w:r>
          </w:p>
        </w:tc>
        <w:tc>
          <w:tcPr>
            <w:tcW w:w="851"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041"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skut. (v Kč)</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10265 EU - MŠ Sedlčanská - zlepšení tepelně tech. vlastností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1 449,7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1 449 673,30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85,3</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85 274,90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10246  EU - ZŠ Na Chodovci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8 901,7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8 901 751,65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523,6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523 632,45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10247  EU - ZŠ Plamínkové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6 505,0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6 504 954,80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382,6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382 644,40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10283 - EU - MŠ Trojlístek - snížení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4 488,1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4 488 123,25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264,0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264 007,25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10245 EU - MŠ 4 pastelky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6 867,5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6 867 530,80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404,0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403 972,40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10300 EU - Systém domovního a komunitního kompostování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64 628,04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1 292,6</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1 292 567,36</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3 801,64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76,0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76 033,36</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10299 EU - MŠ Fillova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2 128,8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2 128 803,75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125,2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125 223,75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30 405,4</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30 405 465,59</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1 292,60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1 292 567,36</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1 788,50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1 788 556,79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76,00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76 033,36</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10199 EU - MŠ Kurandové - sniž. energetické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195,5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195 471,56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11 498,32</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10197 EU - ZŠ Tyršova - snížení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23 655,50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1 391,50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10159 EU FZŠ Barrandov II. - snížení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1 807,8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1 807 801,25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106,3</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106 341,25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10289 EU - MŠ U Krtečka - sniž.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3 899,4</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3 899 389,87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113,1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113 135,00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229,4</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229 375,87</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6,7</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6 655,00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10292 EU - Nákup kompostérů (SFŽP)</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1 651,1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1 651 125,00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97,1</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97 125,00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10267 EU - Analýza rizik ekolog. zátěží v k.ú. Košíře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1 038,9</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1 038 867,45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10267 EU - Analýza rizik ekolog. zátěží v k.ú. Košíře (SR)</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15373</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61,1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61 109,85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10268 EU - Analýza rizik ekolog. zátěží v k.ú. Motol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969,1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969 135,15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5</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10268 EU - Analýza rizik ekolog. zátěží v k.ú. Motol (SR)</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15373</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57,0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57 007,95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5 926,4</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5 926 318,2</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3 890,3</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3 890 380,4</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348,6</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348 606,9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103,8</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103 780,0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10248 EU - MŠ Šmolkova - realizace energet. úspor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3 139,2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3 139 247,19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184,7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184 661,59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10249 EU - MŠ Na Dlouhém lánu - realizace energet. úspor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2 259,1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2 259 161,79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132,9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132 891,87</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10272 EU - ZŠ a MŠ J.A.Komenského- realizace energet. úspor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2 741,2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2 741 109,49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161,2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161 241,73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10222   EU - Kompostéry pro občany Prahy 6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1 425,5</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1 425 501,00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83,9</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83 853,00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8 139,5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8 139 518,47</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1 425,50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1 425 501,00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478,80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478 795,19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83,90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83 853,00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7</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10237 EU - MŠ Kostelní zateplení objektu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1 341,6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1 341 612,99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78,9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78 917,99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1 341,6</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1 341 612,99</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78,90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78 917,99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8</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10297 EU - MŠ Šiškova - sníž. enrget.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8 437,2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8 437 160,07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6 042,64</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496,3</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496 303,53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355,44</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8</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10276 EU - MŠ Bojasova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9 653,4</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9 653 389,16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6 042,64</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567,8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567 846,41</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355,44</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8</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10277 EU - MŠ Krynická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8 005,3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8 005 278,45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470,9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470 898,73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26 095,9</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26 095 827,68</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12,00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12 085,28</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1 535,00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1 535 048,67</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0,80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710,88</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05xx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10264 EU - zateplení budovy SSS Českolipská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2 380,7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2 380 706,35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165,0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165 012,20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140,1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140 041,55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9 706,60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10135 EU - ZŠ Litvínovská čp. 500 a 600 -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523,3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523 283,30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30,8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30 781,37</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10211 EU - Vybud. podzemních kontejnerů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484,2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484 231,82</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05xx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10257 EU - Zateplení budovy SSS Harrachovská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3 165,1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3 165 115,25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164,5</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164 494,55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186,2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186 183,25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9 676,15</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6 553,3</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6 553 336,72</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329,50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329 506,75</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357,10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357 006,17</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19,40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19 382,75</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10301 EU - Kompostéry pro občany MČ (SFŽP)</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1 088,2</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1 088 153,00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64 009,00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1 088,20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1 088 153,00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64,00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64 009,00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11</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10209 EU - Vejvanovského 1610/1 - zateplení pavilonu A1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2 206,4</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2 206 441,65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129,8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129 790,03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2 206,4</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2 206 441,65</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129,80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129 790,03</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10170 EU - Revitalizace objektu ZŠ Rakovského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23 492,5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23 492 516,75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1 381,9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1 381 912,75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10168 EU - Revitalizace objektu ZŠ prof. Švejcara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20 349,1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20 349 090,44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1 197,0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1 197 005,31</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10167 EU - Revit. areálu Čechtická 758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7 830,9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7 830 962,44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460,7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460 644,84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10169  EU - Energet. opatření ZŠ a MŠ Na Beránku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4 483,0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4 482 963,50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50,4</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50 396,49</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263,7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263 703,73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2 964,49</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56 155,5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56 155 533,1</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50,4</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50 396,5</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3 303,3</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3 303 266,6</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2 964,5</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13</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10296 EU - ZŠ Mezi školami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1 437,6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1 437 600,04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1198"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84,6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84 564,70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13</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10302 EU - Zateplení tělocvičny Kovářova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1 399,9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1 399 919,70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40,9</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40 837,50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13</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06xx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10303 EU - Zateplení objektu kina K Vidouli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1 208,7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1 208 737,03</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4 046,2</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4 046 256,77</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40,90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40 837,50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84,60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84 564,70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10175 EU - Sportovní volnočasové zařízení -snížení energetické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639,8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639 829,84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37,6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37 636,96</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10097 EU - MŠ Gen. Janouška - energetická úspora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21 347,84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1 255,75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10230 EU - MŠ Paculova - energet. úspora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2 694,5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2 694 483,00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158 499,00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10176 - EU ZŠ Chvaletická - 1. stupeň - snížení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1 640,8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1 640 748,26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96 514,60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14</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10229 - EU MŠ Vybíralova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10 820,1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10 820 106,45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636,5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636 476,85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15 816,5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15 816 515,39</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930,40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930 383,16</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16</w:t>
            </w:r>
          </w:p>
        </w:tc>
        <w:tc>
          <w:tcPr>
            <w:tcW w:w="551"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10204 EU - Vybudování podzemních kontejnerů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97 591,05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5 740,63</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09xx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10178 EU - zateplení budovy úřadu MČ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55 743,11</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3,3</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3 279,00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06xx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10304 Zateplení objektu kino Radotín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1 134,8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1 134 813,56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16</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05xx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10293 EU - DPS Na Benátkách - zateplení objektu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832,2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832 253,88</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49,0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48 956,05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2 120,3</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2 120 401,60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58,00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57 975,68</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17</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10295 EU - Zateplení objektu Bendova č.p.1121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3 675,2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3 675 178,66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104,1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104 056,99</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216,2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216 186,98</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6,1</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6 120,99</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3 675,2</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3 675 178,66</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104,10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104 056,99</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216,20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216 186,98</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6,10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6 120,99</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18</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10270 - EU ZŠ Fryčovická - realizace energet. úspor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9 358,8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9 358 785,60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550,5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550 516,80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18</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10271 EU - Víceúčelový objekt Tinecká 650 - energet. úspory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4 150,7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4 150 691,00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1293"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13 509,5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13 509 476,60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550,50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550 516,80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10213 EU - Nákup vozu na svoz bioodpadu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1 623,6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1 623 590,10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95,5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95 505,30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10255 EU - Nákup nosiče kontejnerů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1 115,2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1 115 169,99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19</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09xx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10256 EU - Zateplení budovy stavebního úřadu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1 503,6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1 503 624,33</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88,4</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88 448,49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4 242,4</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4 242 384,42</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183,90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183 953,79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0416</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10154 EU-MŠ Ratibořická - zateplení budovy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202,2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202 203,44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11 894,32</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10225 EU - ZŠ Ratibořická - zateplení tělocvičny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1 954,6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1 954 589,42</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115,0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114 975,84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10224 EU - MŠ U Rybníčku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3 233,1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3 233 089,75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38,1</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38 054,50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190,2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190 181,75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2,2</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2 238,50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06xx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10259 EU - Rek.objektu veřejné vybavenosti Náchodská 754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1 635,8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1 635 757,85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96 221,05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10260 EU - DDM Horní Počernice - sniž. energetické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71,7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71 697,50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20,6</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20 570,00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4 217,50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1 210,00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10261 EU - MŠ Chodovická- sniž. energetické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101,8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101 830,00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25,7</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25 712,50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5 990,00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1 512,50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20</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10258 EU - MŠ Ratibořická - zateplení 2.etapa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2 551,3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2 551 261,65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15370</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29,8</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29 826,50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150 074,21</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1 754,50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9 750,5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9 750 429,61</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114,20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114 163,50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573,50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573 554,67</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6,80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6 715,50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21</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10236  EU - Zateplení MŠ Rohožník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2 251,1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2 251 098,34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132,5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132 417,54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2 251,1</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2 251 098,34</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132,50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132 417,54</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10282 EU -Zkvalitnění nakládání s bioodpadem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1 664,0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1 664 031,27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22</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10284 EU - ZŠ a školní družina zlepšení tepelně tech. vlastností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704,9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704 917,75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41,5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41 465,75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2 368,9</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2 368 949,02</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41,50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41 465,75</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Benice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09xx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10228 EU - Zateplení budovy úřadu MČ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937,9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937 951,20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55 173,60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937,9</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937 951,20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55,20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55 173,60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Čakovice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10210 EU - Systém pro separaci a svoz BRKO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656,9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656 882,20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38 639,96</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Čakovice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10287 EU - Zateplení budovy školní jídelny č.p. 840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1 709,1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1 709 062,87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100 533,11</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Čakovice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10288 EU - Zateplení budovy č.p. 20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1 101,6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1 101 602,55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64 799,99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Čakovice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10290 EU - Sníž. energet. náročnosti objektu školní družiny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1 546,3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1 546 304,70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91,0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90 959,10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Čakovice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10298 EU - Systém svozu bioodpadu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2 328,8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2 328 782,98</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1293"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 </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7 342,7</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7 342 635,30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294,90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294 932,16</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Ďáblice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10274 EU - ZŠ U Parkánu - zateplení a výměna oken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2 331,7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2 331 642,18</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137,1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137 155,41</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Ďáblice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10294 EU - SK Ďáblice - zateplení a výměna oken šaten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1 345,8</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1 345 782,89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79,2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79 163,64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3 677,5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3 677 425,07</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216,30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216 319,05</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Praha - Dolní Počernice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10238 EU - snižování spotřeby energie v objektu č.p.284 hotel Svornost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1 261,7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1 261 650,39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1 261,7</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1 261 650,39</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Koloděje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10254 EU - ZŠ Koloděje - zateplení, výměna oken, kotlů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3 114,0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3 114 021,25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183,1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183 177,25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Koloděje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10253 EU - Svoz bioodpadu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2 057,6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2 057 617,10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121,0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121 035,99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5 171,6</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5 171 638,35</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304,10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304 213,24</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Kolovraty</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10262 EU - Systém pro separaci a svoz BRO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3 214,9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3 214 936,30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189,1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189 112,99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Kolovraty</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10273 EU - Zateplení budovy ZŠ a tělocvičny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1 169,0</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1 169 008,40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68,8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68 765,20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4 383,9</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4 383 944,70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257,90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257 878,19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Libuš</w:t>
            </w:r>
          </w:p>
        </w:tc>
        <w:tc>
          <w:tcPr>
            <w:tcW w:w="551"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10150 EU - MŠ Lojovická - sniž. energet. náročnosti budovy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2 071,3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2 071 375,20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121,8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121 845,60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Libuš</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10243  EU - Objekt Libušská č.p. 81 - sniž spotřeby energie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476,3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476 345,95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28,0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28 019,44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Libuš</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10251 EU - ZŠ L. Coňka  - snižování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1 191,6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1 191 573,35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70,1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70 092,55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Libuš</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10279 EU - Objekt K Vrtilce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1 625,6</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1 625 630,10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95,6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95 624,99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Libuš</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10280 EU - Kompostujte sami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1 844,3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1 844 310,87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108,5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108 488,28</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7 209,1</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7 209 235,47</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424,00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424 070,86</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Lochkov</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06xx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10163 EU - Zateplení budovy knihovny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59 113,88</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3 477,28</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59,1</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59 113,88</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3 477,28</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Lysolaje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10291 EU - Systém svozu bioodpadů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15839</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1 997,9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1 997 861,25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15374</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99,9</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99 892,85</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117,5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117 520,95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90001</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5 876,03</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1 997,9</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1 997 861,25</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99,90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99 892,85</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117,50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117 520,95</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5,90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5 876,03</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Nebušice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05xx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10157 EU - CSS Nebušice - snižování spotřeby energie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590,5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590 458,30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34,7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34 732,84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590,5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590 458,30</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34,70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34 732,84</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Petrovice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10171 EU - ZŠ Dopplerova - sniž. spotřeby energie, jižní křídlo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4 424,2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4 424 193,83</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260,2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260 246,02</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Petrovice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10173 EU - ZŠ Dopplerova - sniž. spotřeby energie provoz. budova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5 329,7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5 329 749,67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313,4</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313 514,68</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Petrovice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10172 EU - ZŠ Dopplerova - sniž. spotřeby energie severní křídlo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4 226,9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4 226 892,87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248,5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248 640,66</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Petrovice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10121 EU - Objekt Jakobiho 328 - snížení spotřeby energie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104,7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104 661,22</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6 156,54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Petrovice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10266 EU - MŠ Jakobiho -real. úspor energie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3 971,2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3 971 170,27</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233,6</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233 598,25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18 056,7</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18 056 667,86</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1 061,90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1 062 156,15</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Praha - Přední Kopanina</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10244 EU - Zateplení a tepelné čerpadlo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1 322,5</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1 322 486,95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77,8</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77 793,00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1 322,5</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1 322 486,95</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77,80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77 793,00</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Satalice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08xx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10188 EU - Zateplení objektu Pod poštou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648,9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648 943,86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38 173,16</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Satalice</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10239 EU - Zateplení budovy C ve statku ZUŠ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1 565,3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1 565 253,75</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92,1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92 072,99</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2 214,2</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2 214 197,61</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130,30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130 246,15</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Slivenec</w:t>
            </w:r>
          </w:p>
        </w:tc>
        <w:tc>
          <w:tcPr>
            <w:tcW w:w="551"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09xx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10208 EU - MČ Slivenec - zateplení a výměna kotle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164,2</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164 213,06</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9,7</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9 659,44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Slivenec</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10227 EU - Zateplení klubu Švestka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822,7</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822 733,70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48,4</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48 396,00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67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Slivenec</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10217 EU - Zateplení šaten a instalace tepel. čerpadla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1 720,9</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1 720 852,20</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101,2</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101 226,60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2 707,8</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2 707 798,96</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159,30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159 282,04</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Suchdol</w:t>
            </w:r>
          </w:p>
        </w:tc>
        <w:tc>
          <w:tcPr>
            <w:tcW w:w="551" w:type="dxa"/>
            <w:tcBorders>
              <w:top w:val="nil"/>
              <w:left w:val="nil"/>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10093 EU - ZŠ M. Alše - sníž. energet. náročnosti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688,1</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688 087,83</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40,5</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40 475,75</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Suchdol</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04xx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10235 EU - ZŠ M. Alše zateplení krčku budovy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460,3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460 326,74</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27,1</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27 078,04</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450"/>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Suchdol</w:t>
            </w:r>
          </w:p>
        </w:tc>
        <w:tc>
          <w:tcPr>
            <w:tcW w:w="5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09xx</w:t>
            </w:r>
          </w:p>
        </w:tc>
        <w:tc>
          <w:tcPr>
            <w:tcW w:w="2557"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10234 EU - Zateplení budovy ÚMČ (EU)</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15835</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1 766,3</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1 766 269,39</w:t>
            </w:r>
          </w:p>
        </w:tc>
        <w:tc>
          <w:tcPr>
            <w:tcW w:w="73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c>
          <w:tcPr>
            <w:tcW w:w="70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90877</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103,9</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103 897,70</w:t>
            </w:r>
          </w:p>
        </w:tc>
        <w:tc>
          <w:tcPr>
            <w:tcW w:w="58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0,00</w:t>
            </w:r>
          </w:p>
        </w:tc>
      </w:tr>
      <w:tr w:rsidR="00036604" w:rsidTr="00442DA8">
        <w:trPr>
          <w:trHeight w:val="255"/>
        </w:trPr>
        <w:tc>
          <w:tcPr>
            <w:tcW w:w="1338" w:type="dxa"/>
            <w:tcBorders>
              <w:top w:val="nil"/>
              <w:left w:val="single" w:sz="4" w:space="0" w:color="auto"/>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557" w:type="dxa"/>
            <w:tcBorders>
              <w:top w:val="nil"/>
              <w:left w:val="nil"/>
              <w:bottom w:val="single" w:sz="4" w:space="0" w:color="auto"/>
              <w:right w:val="single" w:sz="4" w:space="0" w:color="auto"/>
            </w:tcBorders>
            <w:shd w:val="clear" w:color="000000" w:fill="D9D9D9"/>
            <w:vAlign w:val="bottom"/>
          </w:tcPr>
          <w:p w:rsidR="00036604" w:rsidRDefault="00036604">
            <w:pPr>
              <w:rPr>
                <w:rFonts w:ascii="Arial" w:hAnsi="Arial" w:cs="Arial"/>
                <w:b/>
                <w:bCs/>
                <w:sz w:val="16"/>
                <w:szCs w:val="16"/>
              </w:rPr>
            </w:pPr>
            <w:r>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104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2 914,7</w:t>
            </w:r>
          </w:p>
        </w:tc>
        <w:tc>
          <w:tcPr>
            <w:tcW w:w="142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2 914 683,96</w:t>
            </w:r>
          </w:p>
        </w:tc>
        <w:tc>
          <w:tcPr>
            <w:tcW w:w="739"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792"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198"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705"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171,50</w:t>
            </w:r>
          </w:p>
        </w:tc>
        <w:tc>
          <w:tcPr>
            <w:tcW w:w="1293"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171 451,49</w:t>
            </w:r>
          </w:p>
        </w:tc>
        <w:tc>
          <w:tcPr>
            <w:tcW w:w="584" w:type="dxa"/>
            <w:tcBorders>
              <w:top w:val="nil"/>
              <w:left w:val="nil"/>
              <w:bottom w:val="single" w:sz="4" w:space="0" w:color="auto"/>
              <w:right w:val="single" w:sz="4" w:space="0" w:color="auto"/>
            </w:tcBorders>
            <w:shd w:val="clear" w:color="000000" w:fill="D9D9D9"/>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c>
          <w:tcPr>
            <w:tcW w:w="1041" w:type="dxa"/>
            <w:tcBorders>
              <w:top w:val="nil"/>
              <w:left w:val="nil"/>
              <w:bottom w:val="single" w:sz="4" w:space="0" w:color="auto"/>
              <w:right w:val="single" w:sz="4" w:space="0" w:color="auto"/>
            </w:tcBorders>
            <w:shd w:val="clear" w:color="000000" w:fill="D9D9D9"/>
            <w:noWrap/>
            <w:vAlign w:val="bottom"/>
          </w:tcPr>
          <w:p w:rsidR="00036604" w:rsidRDefault="00036604">
            <w:pPr>
              <w:jc w:val="right"/>
              <w:rPr>
                <w:rFonts w:ascii="Arial" w:hAnsi="Arial" w:cs="Arial"/>
                <w:b/>
                <w:bCs/>
                <w:sz w:val="16"/>
                <w:szCs w:val="16"/>
              </w:rPr>
            </w:pPr>
            <w:r>
              <w:rPr>
                <w:rFonts w:ascii="Arial" w:hAnsi="Arial" w:cs="Arial"/>
                <w:b/>
                <w:bCs/>
                <w:sz w:val="16"/>
                <w:szCs w:val="16"/>
              </w:rPr>
              <w:t>0,00</w:t>
            </w:r>
          </w:p>
        </w:tc>
      </w:tr>
      <w:tr w:rsidR="00036604" w:rsidTr="00442DA8">
        <w:trPr>
          <w:trHeight w:val="405"/>
        </w:trPr>
        <w:tc>
          <w:tcPr>
            <w:tcW w:w="1338"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b/>
                <w:bCs/>
                <w:sz w:val="16"/>
                <w:szCs w:val="16"/>
              </w:rPr>
            </w:pPr>
            <w:r>
              <w:rPr>
                <w:rFonts w:ascii="Arial" w:hAnsi="Arial" w:cs="Arial"/>
                <w:b/>
                <w:bCs/>
                <w:sz w:val="16"/>
                <w:szCs w:val="16"/>
              </w:rPr>
              <w:t>Celkem</w:t>
            </w:r>
          </w:p>
        </w:tc>
        <w:tc>
          <w:tcPr>
            <w:tcW w:w="551"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20"/>
                <w:szCs w:val="20"/>
              </w:rPr>
            </w:pPr>
            <w:r>
              <w:rPr>
                <w:rFonts w:ascii="Arial" w:hAnsi="Arial" w:cs="Arial"/>
                <w:b/>
                <w:bCs/>
                <w:sz w:val="20"/>
                <w:szCs w:val="20"/>
              </w:rPr>
              <w:t> </w:t>
            </w:r>
          </w:p>
        </w:tc>
        <w:tc>
          <w:tcPr>
            <w:tcW w:w="2557"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20"/>
                <w:szCs w:val="20"/>
              </w:rPr>
            </w:pPr>
            <w:r>
              <w:rPr>
                <w:rFonts w:ascii="Arial" w:hAnsi="Arial" w:cs="Arial"/>
                <w:b/>
                <w:bCs/>
                <w:sz w:val="20"/>
                <w:szCs w:val="20"/>
              </w:rPr>
              <w:t> </w:t>
            </w:r>
          </w:p>
        </w:tc>
        <w:tc>
          <w:tcPr>
            <w:tcW w:w="584"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20"/>
                <w:szCs w:val="20"/>
              </w:rPr>
            </w:pPr>
            <w:r>
              <w:rPr>
                <w:rFonts w:ascii="Arial" w:hAnsi="Arial" w:cs="Arial"/>
                <w:b/>
                <w:bCs/>
                <w:sz w:val="20"/>
                <w:szCs w:val="20"/>
              </w:rPr>
              <w:t> </w:t>
            </w:r>
          </w:p>
        </w:tc>
        <w:tc>
          <w:tcPr>
            <w:tcW w:w="104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254 452,4</w:t>
            </w:r>
          </w:p>
        </w:tc>
        <w:tc>
          <w:tcPr>
            <w:tcW w:w="142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254 452 494,07</w:t>
            </w:r>
          </w:p>
        </w:tc>
        <w:tc>
          <w:tcPr>
            <w:tcW w:w="739"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792"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8 447,6</w:t>
            </w:r>
          </w:p>
        </w:tc>
        <w:tc>
          <w:tcPr>
            <w:tcW w:w="1198"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8 447 541,12</w:t>
            </w:r>
          </w:p>
        </w:tc>
        <w:tc>
          <w:tcPr>
            <w:tcW w:w="705"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864"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14 100,0</w:t>
            </w:r>
          </w:p>
        </w:tc>
        <w:tc>
          <w:tcPr>
            <w:tcW w:w="1293"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14 100 254,48</w:t>
            </w:r>
          </w:p>
        </w:tc>
        <w:tc>
          <w:tcPr>
            <w:tcW w:w="584"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85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369,7</w:t>
            </w:r>
          </w:p>
        </w:tc>
        <w:tc>
          <w:tcPr>
            <w:tcW w:w="1041"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369 446,00</w:t>
            </w:r>
          </w:p>
        </w:tc>
      </w:tr>
    </w:tbl>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pPr>
    </w:p>
    <w:p w:rsidR="00036604" w:rsidRDefault="00036604" w:rsidP="00556FB1">
      <w:pPr>
        <w:jc w:val="both"/>
        <w:rPr>
          <w:highlight w:val="darkYellow"/>
        </w:rPr>
      </w:pPr>
    </w:p>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pPr>
    </w:p>
    <w:tbl>
      <w:tblPr>
        <w:tblW w:w="7480" w:type="dxa"/>
        <w:tblInd w:w="55" w:type="dxa"/>
        <w:tblCellMar>
          <w:left w:w="70" w:type="dxa"/>
          <w:right w:w="70" w:type="dxa"/>
        </w:tblCellMar>
        <w:tblLook w:val="00A0"/>
      </w:tblPr>
      <w:tblGrid>
        <w:gridCol w:w="1360"/>
        <w:gridCol w:w="552"/>
        <w:gridCol w:w="2600"/>
        <w:gridCol w:w="585"/>
        <w:gridCol w:w="1145"/>
        <w:gridCol w:w="1316"/>
      </w:tblGrid>
      <w:tr w:rsidR="00036604" w:rsidTr="00442DA8">
        <w:trPr>
          <w:trHeight w:val="255"/>
        </w:trPr>
        <w:tc>
          <w:tcPr>
            <w:tcW w:w="1360" w:type="dxa"/>
            <w:tcBorders>
              <w:top w:val="single" w:sz="4" w:space="0" w:color="auto"/>
              <w:left w:val="single" w:sz="4" w:space="0" w:color="auto"/>
              <w:bottom w:val="nil"/>
              <w:right w:val="single" w:sz="4" w:space="0" w:color="auto"/>
            </w:tcBorders>
            <w:shd w:val="clear" w:color="000000" w:fill="F2F2F2"/>
            <w:noWrap/>
            <w:vAlign w:val="bottom"/>
          </w:tcPr>
          <w:p w:rsidR="00036604" w:rsidRDefault="00036604">
            <w:pPr>
              <w:rPr>
                <w:rFonts w:ascii="Arial" w:hAnsi="Arial" w:cs="Arial"/>
                <w:b/>
                <w:bCs/>
                <w:sz w:val="16"/>
                <w:szCs w:val="16"/>
              </w:rPr>
            </w:pPr>
            <w:r>
              <w:rPr>
                <w:rFonts w:ascii="Arial" w:hAnsi="Arial" w:cs="Arial"/>
                <w:b/>
                <w:bCs/>
                <w:sz w:val="16"/>
                <w:szCs w:val="16"/>
              </w:rPr>
              <w:t xml:space="preserve">pro MČ </w:t>
            </w:r>
          </w:p>
        </w:tc>
        <w:tc>
          <w:tcPr>
            <w:tcW w:w="480" w:type="dxa"/>
            <w:tcBorders>
              <w:top w:val="single" w:sz="4" w:space="0" w:color="auto"/>
              <w:left w:val="nil"/>
              <w:bottom w:val="nil"/>
              <w:right w:val="single" w:sz="4" w:space="0" w:color="auto"/>
            </w:tcBorders>
            <w:shd w:val="clear" w:color="000000" w:fill="F2F2F2"/>
            <w:noWrap/>
            <w:vAlign w:val="bottom"/>
          </w:tcPr>
          <w:p w:rsidR="00036604" w:rsidRDefault="00036604">
            <w:pPr>
              <w:rPr>
                <w:rFonts w:ascii="Arial" w:hAnsi="Arial" w:cs="Arial"/>
                <w:b/>
                <w:bCs/>
                <w:sz w:val="20"/>
                <w:szCs w:val="20"/>
              </w:rPr>
            </w:pPr>
            <w:r>
              <w:rPr>
                <w:rFonts w:ascii="Arial" w:hAnsi="Arial" w:cs="Arial"/>
                <w:b/>
                <w:bCs/>
                <w:sz w:val="20"/>
                <w:szCs w:val="20"/>
              </w:rPr>
              <w:t>ORJ</w:t>
            </w:r>
          </w:p>
        </w:tc>
        <w:tc>
          <w:tcPr>
            <w:tcW w:w="2600" w:type="dxa"/>
            <w:tcBorders>
              <w:top w:val="single" w:sz="4" w:space="0" w:color="auto"/>
              <w:left w:val="nil"/>
              <w:bottom w:val="nil"/>
              <w:right w:val="single" w:sz="4" w:space="0" w:color="auto"/>
            </w:tcBorders>
            <w:shd w:val="clear" w:color="000000" w:fill="F2F2F2"/>
            <w:noWrap/>
            <w:vAlign w:val="bottom"/>
          </w:tcPr>
          <w:p w:rsidR="00036604" w:rsidRDefault="00036604">
            <w:pPr>
              <w:jc w:val="center"/>
              <w:rPr>
                <w:rFonts w:ascii="Arial" w:hAnsi="Arial" w:cs="Arial"/>
                <w:b/>
                <w:bCs/>
                <w:sz w:val="20"/>
                <w:szCs w:val="20"/>
              </w:rPr>
            </w:pPr>
            <w:r>
              <w:rPr>
                <w:rFonts w:ascii="Arial" w:hAnsi="Arial" w:cs="Arial"/>
                <w:b/>
                <w:bCs/>
                <w:sz w:val="20"/>
                <w:szCs w:val="20"/>
              </w:rPr>
              <w:t>Účel</w:t>
            </w:r>
          </w:p>
        </w:tc>
        <w:tc>
          <w:tcPr>
            <w:tcW w:w="3040" w:type="dxa"/>
            <w:gridSpan w:val="3"/>
            <w:tcBorders>
              <w:top w:val="single" w:sz="4" w:space="0" w:color="auto"/>
              <w:left w:val="nil"/>
              <w:bottom w:val="single" w:sz="4" w:space="0" w:color="auto"/>
              <w:right w:val="single" w:sz="4" w:space="0" w:color="000000"/>
            </w:tcBorders>
            <w:shd w:val="clear" w:color="000000" w:fill="F2F2F2"/>
            <w:vAlign w:val="bottom"/>
          </w:tcPr>
          <w:p w:rsidR="00036604" w:rsidRDefault="00036604">
            <w:pPr>
              <w:jc w:val="center"/>
              <w:rPr>
                <w:rFonts w:ascii="Arial" w:hAnsi="Arial" w:cs="Arial"/>
                <w:b/>
                <w:bCs/>
                <w:sz w:val="18"/>
                <w:szCs w:val="18"/>
              </w:rPr>
            </w:pPr>
            <w:r>
              <w:rPr>
                <w:rFonts w:ascii="Arial" w:hAnsi="Arial" w:cs="Arial"/>
                <w:b/>
                <w:bCs/>
                <w:sz w:val="18"/>
                <w:szCs w:val="18"/>
              </w:rPr>
              <w:t xml:space="preserve"> pol. 4113 příjmy HMP, pol. 5347  vl. HMP výdaje </w:t>
            </w:r>
          </w:p>
        </w:tc>
      </w:tr>
      <w:tr w:rsidR="00036604" w:rsidTr="00442DA8">
        <w:trPr>
          <w:trHeight w:val="450"/>
        </w:trPr>
        <w:tc>
          <w:tcPr>
            <w:tcW w:w="1360" w:type="dxa"/>
            <w:tcBorders>
              <w:top w:val="nil"/>
              <w:left w:val="single" w:sz="4" w:space="0" w:color="auto"/>
              <w:bottom w:val="single" w:sz="4" w:space="0" w:color="auto"/>
              <w:right w:val="single" w:sz="4" w:space="0" w:color="auto"/>
            </w:tcBorders>
            <w:shd w:val="clear" w:color="000000" w:fill="F2F2F2"/>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480"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600"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 </w:t>
            </w:r>
          </w:p>
        </w:tc>
        <w:tc>
          <w:tcPr>
            <w:tcW w:w="579"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ÚZ</w:t>
            </w:r>
          </w:p>
        </w:tc>
        <w:tc>
          <w:tcPr>
            <w:tcW w:w="1145"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316"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skut. (v Kč)</w:t>
            </w:r>
          </w:p>
        </w:tc>
      </w:tr>
      <w:tr w:rsidR="00036604" w:rsidTr="00442DA8">
        <w:trPr>
          <w:trHeight w:val="675"/>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3</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Posílení biodiv. a struktury dřevin patra v lokalitě Židovské pece (SFŽP)</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90104</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1 302,8</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1 302 759,00</w:t>
            </w:r>
          </w:p>
        </w:tc>
      </w:tr>
      <w:tr w:rsidR="00036604" w:rsidTr="00442DA8">
        <w:trPr>
          <w:trHeight w:val="255"/>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Celkem</w:t>
            </w:r>
          </w:p>
        </w:tc>
        <w:tc>
          <w:tcPr>
            <w:tcW w:w="480"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2600"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579"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1 302,8</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1 302 759,00</w:t>
            </w:r>
          </w:p>
        </w:tc>
      </w:tr>
      <w:tr w:rsidR="00036604" w:rsidTr="00442DA8">
        <w:trPr>
          <w:trHeight w:val="255"/>
        </w:trPr>
        <w:tc>
          <w:tcPr>
            <w:tcW w:w="1360" w:type="dxa"/>
            <w:tcBorders>
              <w:top w:val="nil"/>
              <w:left w:val="nil"/>
              <w:bottom w:val="nil"/>
              <w:right w:val="nil"/>
            </w:tcBorders>
            <w:noWrap/>
            <w:vAlign w:val="bottom"/>
          </w:tcPr>
          <w:p w:rsidR="00036604" w:rsidRDefault="00036604">
            <w:pPr>
              <w:rPr>
                <w:rFonts w:ascii="Arial" w:hAnsi="Arial" w:cs="Arial"/>
                <w:sz w:val="20"/>
                <w:szCs w:val="20"/>
              </w:rPr>
            </w:pPr>
          </w:p>
        </w:tc>
        <w:tc>
          <w:tcPr>
            <w:tcW w:w="480" w:type="dxa"/>
            <w:tcBorders>
              <w:top w:val="nil"/>
              <w:left w:val="nil"/>
              <w:bottom w:val="nil"/>
              <w:right w:val="nil"/>
            </w:tcBorders>
            <w:noWrap/>
            <w:vAlign w:val="bottom"/>
          </w:tcPr>
          <w:p w:rsidR="00036604" w:rsidRDefault="00036604">
            <w:pPr>
              <w:rPr>
                <w:rFonts w:ascii="Arial" w:hAnsi="Arial" w:cs="Arial"/>
                <w:sz w:val="20"/>
                <w:szCs w:val="20"/>
              </w:rPr>
            </w:pPr>
          </w:p>
        </w:tc>
        <w:tc>
          <w:tcPr>
            <w:tcW w:w="2600" w:type="dxa"/>
            <w:tcBorders>
              <w:top w:val="nil"/>
              <w:left w:val="nil"/>
              <w:bottom w:val="nil"/>
              <w:right w:val="nil"/>
            </w:tcBorders>
            <w:noWrap/>
            <w:vAlign w:val="bottom"/>
          </w:tcPr>
          <w:p w:rsidR="00036604" w:rsidRDefault="00036604">
            <w:pPr>
              <w:rPr>
                <w:rFonts w:ascii="Arial" w:hAnsi="Arial" w:cs="Arial"/>
                <w:sz w:val="20"/>
                <w:szCs w:val="20"/>
              </w:rPr>
            </w:pPr>
          </w:p>
        </w:tc>
        <w:tc>
          <w:tcPr>
            <w:tcW w:w="579" w:type="dxa"/>
            <w:tcBorders>
              <w:top w:val="nil"/>
              <w:left w:val="nil"/>
              <w:bottom w:val="nil"/>
              <w:right w:val="nil"/>
            </w:tcBorders>
            <w:noWrap/>
            <w:vAlign w:val="bottom"/>
          </w:tcPr>
          <w:p w:rsidR="00036604" w:rsidRDefault="00036604">
            <w:pPr>
              <w:rPr>
                <w:rFonts w:ascii="Arial" w:hAnsi="Arial" w:cs="Arial"/>
                <w:sz w:val="20"/>
                <w:szCs w:val="20"/>
              </w:rPr>
            </w:pPr>
          </w:p>
        </w:tc>
        <w:tc>
          <w:tcPr>
            <w:tcW w:w="1145" w:type="dxa"/>
            <w:tcBorders>
              <w:top w:val="nil"/>
              <w:left w:val="nil"/>
              <w:bottom w:val="nil"/>
              <w:right w:val="nil"/>
            </w:tcBorders>
            <w:noWrap/>
            <w:vAlign w:val="bottom"/>
          </w:tcPr>
          <w:p w:rsidR="00036604" w:rsidRDefault="00036604">
            <w:pPr>
              <w:rPr>
                <w:rFonts w:ascii="Arial" w:hAnsi="Arial" w:cs="Arial"/>
                <w:sz w:val="20"/>
                <w:szCs w:val="20"/>
              </w:rPr>
            </w:pPr>
          </w:p>
        </w:tc>
        <w:tc>
          <w:tcPr>
            <w:tcW w:w="1316" w:type="dxa"/>
            <w:tcBorders>
              <w:top w:val="nil"/>
              <w:left w:val="nil"/>
              <w:bottom w:val="nil"/>
              <w:right w:val="nil"/>
            </w:tcBorders>
            <w:noWrap/>
            <w:vAlign w:val="bottom"/>
          </w:tcPr>
          <w:p w:rsidR="00036604" w:rsidRDefault="00036604">
            <w:pPr>
              <w:rPr>
                <w:rFonts w:ascii="Arial" w:hAnsi="Arial" w:cs="Arial"/>
                <w:sz w:val="20"/>
                <w:szCs w:val="20"/>
              </w:rPr>
            </w:pPr>
          </w:p>
        </w:tc>
      </w:tr>
      <w:tr w:rsidR="00036604" w:rsidTr="00442DA8">
        <w:trPr>
          <w:trHeight w:val="255"/>
        </w:trPr>
        <w:tc>
          <w:tcPr>
            <w:tcW w:w="1360" w:type="dxa"/>
            <w:tcBorders>
              <w:top w:val="single" w:sz="4" w:space="0" w:color="auto"/>
              <w:left w:val="single" w:sz="4" w:space="0" w:color="auto"/>
              <w:bottom w:val="nil"/>
              <w:right w:val="single" w:sz="4" w:space="0" w:color="auto"/>
            </w:tcBorders>
            <w:shd w:val="clear" w:color="000000" w:fill="F2F2F2"/>
            <w:noWrap/>
            <w:vAlign w:val="bottom"/>
          </w:tcPr>
          <w:p w:rsidR="00036604" w:rsidRDefault="00036604">
            <w:pPr>
              <w:rPr>
                <w:rFonts w:ascii="Arial" w:hAnsi="Arial" w:cs="Arial"/>
                <w:b/>
                <w:bCs/>
                <w:sz w:val="16"/>
                <w:szCs w:val="16"/>
              </w:rPr>
            </w:pPr>
            <w:r>
              <w:rPr>
                <w:rFonts w:ascii="Arial" w:hAnsi="Arial" w:cs="Arial"/>
                <w:b/>
                <w:bCs/>
                <w:sz w:val="16"/>
                <w:szCs w:val="16"/>
              </w:rPr>
              <w:t xml:space="preserve">pro MČ </w:t>
            </w:r>
          </w:p>
        </w:tc>
        <w:tc>
          <w:tcPr>
            <w:tcW w:w="480" w:type="dxa"/>
            <w:tcBorders>
              <w:top w:val="single" w:sz="4" w:space="0" w:color="auto"/>
              <w:left w:val="nil"/>
              <w:bottom w:val="nil"/>
              <w:right w:val="single" w:sz="4" w:space="0" w:color="auto"/>
            </w:tcBorders>
            <w:shd w:val="clear" w:color="000000" w:fill="F2F2F2"/>
            <w:noWrap/>
            <w:vAlign w:val="bottom"/>
          </w:tcPr>
          <w:p w:rsidR="00036604" w:rsidRDefault="00036604">
            <w:pPr>
              <w:rPr>
                <w:rFonts w:ascii="Arial" w:hAnsi="Arial" w:cs="Arial"/>
                <w:b/>
                <w:bCs/>
                <w:sz w:val="20"/>
                <w:szCs w:val="20"/>
              </w:rPr>
            </w:pPr>
            <w:r>
              <w:rPr>
                <w:rFonts w:ascii="Arial" w:hAnsi="Arial" w:cs="Arial"/>
                <w:b/>
                <w:bCs/>
                <w:sz w:val="20"/>
                <w:szCs w:val="20"/>
              </w:rPr>
              <w:t>ORJ</w:t>
            </w:r>
          </w:p>
        </w:tc>
        <w:tc>
          <w:tcPr>
            <w:tcW w:w="2600" w:type="dxa"/>
            <w:tcBorders>
              <w:top w:val="single" w:sz="4" w:space="0" w:color="auto"/>
              <w:left w:val="nil"/>
              <w:bottom w:val="nil"/>
              <w:right w:val="single" w:sz="4" w:space="0" w:color="auto"/>
            </w:tcBorders>
            <w:shd w:val="clear" w:color="000000" w:fill="F2F2F2"/>
            <w:noWrap/>
            <w:vAlign w:val="bottom"/>
          </w:tcPr>
          <w:p w:rsidR="00036604" w:rsidRDefault="00036604">
            <w:pPr>
              <w:jc w:val="center"/>
              <w:rPr>
                <w:rFonts w:ascii="Arial" w:hAnsi="Arial" w:cs="Arial"/>
                <w:b/>
                <w:bCs/>
                <w:sz w:val="20"/>
                <w:szCs w:val="20"/>
              </w:rPr>
            </w:pPr>
            <w:r>
              <w:rPr>
                <w:rFonts w:ascii="Arial" w:hAnsi="Arial" w:cs="Arial"/>
                <w:b/>
                <w:bCs/>
                <w:sz w:val="20"/>
                <w:szCs w:val="20"/>
              </w:rPr>
              <w:t>Účel</w:t>
            </w:r>
          </w:p>
        </w:tc>
        <w:tc>
          <w:tcPr>
            <w:tcW w:w="3040" w:type="dxa"/>
            <w:gridSpan w:val="3"/>
            <w:tcBorders>
              <w:top w:val="single" w:sz="4" w:space="0" w:color="auto"/>
              <w:left w:val="nil"/>
              <w:bottom w:val="single" w:sz="4" w:space="0" w:color="auto"/>
              <w:right w:val="single" w:sz="4" w:space="0" w:color="000000"/>
            </w:tcBorders>
            <w:shd w:val="clear" w:color="000000" w:fill="F2F2F2"/>
            <w:vAlign w:val="bottom"/>
          </w:tcPr>
          <w:p w:rsidR="00036604" w:rsidRDefault="00036604">
            <w:pPr>
              <w:jc w:val="center"/>
              <w:rPr>
                <w:rFonts w:ascii="Arial" w:hAnsi="Arial" w:cs="Arial"/>
                <w:b/>
                <w:bCs/>
                <w:sz w:val="18"/>
                <w:szCs w:val="18"/>
              </w:rPr>
            </w:pPr>
            <w:r>
              <w:rPr>
                <w:rFonts w:ascii="Arial" w:hAnsi="Arial" w:cs="Arial"/>
                <w:b/>
                <w:bCs/>
                <w:sz w:val="18"/>
                <w:szCs w:val="18"/>
              </w:rPr>
              <w:t xml:space="preserve"> pol. 4213 příjmy HMP, pol. 5347  vl. HMP výdaje </w:t>
            </w:r>
          </w:p>
        </w:tc>
      </w:tr>
      <w:tr w:rsidR="00036604" w:rsidTr="00442DA8">
        <w:trPr>
          <w:trHeight w:val="450"/>
        </w:trPr>
        <w:tc>
          <w:tcPr>
            <w:tcW w:w="1360" w:type="dxa"/>
            <w:tcBorders>
              <w:top w:val="nil"/>
              <w:left w:val="single" w:sz="4" w:space="0" w:color="auto"/>
              <w:bottom w:val="single" w:sz="4" w:space="0" w:color="auto"/>
              <w:right w:val="single" w:sz="4" w:space="0" w:color="auto"/>
            </w:tcBorders>
            <w:shd w:val="clear" w:color="000000" w:fill="F2F2F2"/>
            <w:noWrap/>
            <w:vAlign w:val="bottom"/>
          </w:tcPr>
          <w:p w:rsidR="00036604" w:rsidRDefault="00036604">
            <w:pPr>
              <w:rPr>
                <w:rFonts w:ascii="Arial" w:hAnsi="Arial" w:cs="Arial"/>
                <w:b/>
                <w:bCs/>
                <w:sz w:val="16"/>
                <w:szCs w:val="16"/>
              </w:rPr>
            </w:pPr>
            <w:r>
              <w:rPr>
                <w:rFonts w:ascii="Arial" w:hAnsi="Arial" w:cs="Arial"/>
                <w:b/>
                <w:bCs/>
                <w:sz w:val="16"/>
                <w:szCs w:val="16"/>
              </w:rPr>
              <w:t> </w:t>
            </w:r>
          </w:p>
        </w:tc>
        <w:tc>
          <w:tcPr>
            <w:tcW w:w="480"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 </w:t>
            </w:r>
          </w:p>
        </w:tc>
        <w:tc>
          <w:tcPr>
            <w:tcW w:w="2600" w:type="dxa"/>
            <w:tcBorders>
              <w:top w:val="nil"/>
              <w:left w:val="nil"/>
              <w:bottom w:val="single" w:sz="4" w:space="0" w:color="auto"/>
              <w:right w:val="single" w:sz="4" w:space="0" w:color="auto"/>
            </w:tcBorders>
            <w:shd w:val="clear" w:color="000000" w:fill="F2F2F2"/>
            <w:noWrap/>
            <w:vAlign w:val="bottom"/>
          </w:tcPr>
          <w:p w:rsidR="00036604" w:rsidRDefault="00036604">
            <w:pPr>
              <w:jc w:val="center"/>
              <w:rPr>
                <w:rFonts w:ascii="Arial" w:hAnsi="Arial" w:cs="Arial"/>
                <w:b/>
                <w:bCs/>
                <w:sz w:val="16"/>
                <w:szCs w:val="16"/>
              </w:rPr>
            </w:pPr>
            <w:r>
              <w:rPr>
                <w:rFonts w:ascii="Arial" w:hAnsi="Arial" w:cs="Arial"/>
                <w:b/>
                <w:bCs/>
                <w:sz w:val="16"/>
                <w:szCs w:val="16"/>
              </w:rPr>
              <w:t> </w:t>
            </w:r>
          </w:p>
        </w:tc>
        <w:tc>
          <w:tcPr>
            <w:tcW w:w="579"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ÚZ</w:t>
            </w:r>
          </w:p>
        </w:tc>
        <w:tc>
          <w:tcPr>
            <w:tcW w:w="1145" w:type="dxa"/>
            <w:tcBorders>
              <w:top w:val="nil"/>
              <w:left w:val="nil"/>
              <w:bottom w:val="single" w:sz="4" w:space="0" w:color="auto"/>
              <w:right w:val="single" w:sz="4" w:space="0" w:color="auto"/>
            </w:tcBorders>
            <w:shd w:val="clear" w:color="000000" w:fill="F2F2F2"/>
            <w:vAlign w:val="bottom"/>
          </w:tcPr>
          <w:p w:rsidR="00036604" w:rsidRDefault="00036604">
            <w:pPr>
              <w:jc w:val="center"/>
              <w:rPr>
                <w:rFonts w:ascii="Arial" w:hAnsi="Arial" w:cs="Arial"/>
                <w:b/>
                <w:bCs/>
                <w:sz w:val="16"/>
                <w:szCs w:val="16"/>
              </w:rPr>
            </w:pPr>
            <w:r>
              <w:rPr>
                <w:rFonts w:ascii="Arial" w:hAnsi="Arial" w:cs="Arial"/>
                <w:b/>
                <w:bCs/>
                <w:sz w:val="16"/>
                <w:szCs w:val="16"/>
              </w:rPr>
              <w:t>RO (v tis. Kč)</w:t>
            </w:r>
          </w:p>
        </w:tc>
        <w:tc>
          <w:tcPr>
            <w:tcW w:w="1316" w:type="dxa"/>
            <w:tcBorders>
              <w:top w:val="nil"/>
              <w:left w:val="nil"/>
              <w:bottom w:val="single" w:sz="4" w:space="0" w:color="auto"/>
              <w:right w:val="single" w:sz="4" w:space="0" w:color="auto"/>
            </w:tcBorders>
            <w:shd w:val="clear" w:color="000000" w:fill="F2F2F2"/>
            <w:noWrap/>
            <w:vAlign w:val="bottom"/>
          </w:tcPr>
          <w:p w:rsidR="00036604" w:rsidRDefault="00036604">
            <w:pPr>
              <w:jc w:val="right"/>
              <w:rPr>
                <w:rFonts w:ascii="Arial" w:hAnsi="Arial" w:cs="Arial"/>
                <w:b/>
                <w:bCs/>
                <w:sz w:val="16"/>
                <w:szCs w:val="16"/>
              </w:rPr>
            </w:pPr>
            <w:r>
              <w:rPr>
                <w:rFonts w:ascii="Arial" w:hAnsi="Arial" w:cs="Arial"/>
                <w:b/>
                <w:bCs/>
                <w:sz w:val="16"/>
                <w:szCs w:val="16"/>
              </w:rPr>
              <w:t>skut. (v Kč)</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Kolovraty</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Rekreační les za brodem (podíl EU)</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89510</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215,4</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215 440,00</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Kolovraty</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Rekreační les za brodem (podíl SZIF)</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89509</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176,3</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176 270,00</w:t>
            </w:r>
          </w:p>
        </w:tc>
      </w:tr>
      <w:tr w:rsidR="00036604" w:rsidTr="00442DA8">
        <w:trPr>
          <w:trHeight w:val="675"/>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Kolovraty</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80081 Revitalizace krajinné zeleně a odpoč. prostoru u Císařské cesty (SFŽP)</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90104</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162,7</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162 718,00</w:t>
            </w:r>
          </w:p>
        </w:tc>
      </w:tr>
      <w:tr w:rsidR="00036604" w:rsidTr="00442DA8">
        <w:trPr>
          <w:trHeight w:val="675"/>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Kunratice</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42357 Revitalizace okolí rybníka Ohrada a zelené cesty (SFŽP)</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90104</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1 720,5</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1 720 533,00</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Nebušice</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Naučná stezka Les Hlásek (podíl EU)</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89510</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261,2</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261 206,00</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Nebušice</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Naučná stezka Les Hlásek (podíl SZIF)</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89509</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213,7</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213 714,00</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Suchdol</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Kyzlíkova stezka (podíl EU)</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89510</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670,8</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670 789,00</w:t>
            </w:r>
          </w:p>
        </w:tc>
      </w:tr>
      <w:tr w:rsidR="00036604" w:rsidTr="00442DA8">
        <w:trPr>
          <w:trHeight w:val="45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sz w:val="16"/>
                <w:szCs w:val="16"/>
              </w:rPr>
            </w:pPr>
            <w:r>
              <w:rPr>
                <w:rFonts w:ascii="Arial" w:hAnsi="Arial" w:cs="Arial"/>
                <w:sz w:val="16"/>
                <w:szCs w:val="16"/>
              </w:rPr>
              <w:t>Praha - Suchdol</w:t>
            </w:r>
          </w:p>
        </w:tc>
        <w:tc>
          <w:tcPr>
            <w:tcW w:w="480"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02xx</w:t>
            </w:r>
          </w:p>
        </w:tc>
        <w:tc>
          <w:tcPr>
            <w:tcW w:w="2600" w:type="dxa"/>
            <w:tcBorders>
              <w:top w:val="nil"/>
              <w:left w:val="nil"/>
              <w:bottom w:val="single" w:sz="4" w:space="0" w:color="auto"/>
              <w:right w:val="single" w:sz="4" w:space="0" w:color="auto"/>
            </w:tcBorders>
            <w:vAlign w:val="bottom"/>
          </w:tcPr>
          <w:p w:rsidR="00036604" w:rsidRDefault="00036604">
            <w:pPr>
              <w:rPr>
                <w:rFonts w:ascii="Arial" w:hAnsi="Arial" w:cs="Arial"/>
                <w:sz w:val="16"/>
                <w:szCs w:val="16"/>
              </w:rPr>
            </w:pPr>
            <w:r>
              <w:rPr>
                <w:rFonts w:ascii="Arial" w:hAnsi="Arial" w:cs="Arial"/>
                <w:sz w:val="16"/>
                <w:szCs w:val="16"/>
              </w:rPr>
              <w:t>akce č. 10285 EU - Kyzlíkova stezka (podíl SZIF)</w:t>
            </w:r>
          </w:p>
        </w:tc>
        <w:tc>
          <w:tcPr>
            <w:tcW w:w="579"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89509</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548,8</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sz w:val="16"/>
                <w:szCs w:val="16"/>
              </w:rPr>
            </w:pPr>
            <w:r>
              <w:rPr>
                <w:rFonts w:ascii="Arial" w:hAnsi="Arial" w:cs="Arial"/>
                <w:sz w:val="16"/>
                <w:szCs w:val="16"/>
              </w:rPr>
              <w:t>548 828,00</w:t>
            </w:r>
          </w:p>
        </w:tc>
      </w:tr>
      <w:tr w:rsidR="00036604" w:rsidTr="00442DA8">
        <w:trPr>
          <w:trHeight w:val="360"/>
        </w:trPr>
        <w:tc>
          <w:tcPr>
            <w:tcW w:w="1360" w:type="dxa"/>
            <w:tcBorders>
              <w:top w:val="nil"/>
              <w:left w:val="single" w:sz="4" w:space="0" w:color="auto"/>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Celkem</w:t>
            </w:r>
          </w:p>
        </w:tc>
        <w:tc>
          <w:tcPr>
            <w:tcW w:w="480"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2600"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579" w:type="dxa"/>
            <w:tcBorders>
              <w:top w:val="nil"/>
              <w:left w:val="nil"/>
              <w:bottom w:val="single" w:sz="4" w:space="0" w:color="auto"/>
              <w:right w:val="single" w:sz="4" w:space="0" w:color="auto"/>
            </w:tcBorders>
            <w:noWrap/>
            <w:vAlign w:val="bottom"/>
          </w:tcPr>
          <w:p w:rsidR="00036604" w:rsidRDefault="00036604">
            <w:pPr>
              <w:rPr>
                <w:rFonts w:ascii="Arial" w:hAnsi="Arial" w:cs="Arial"/>
                <w:b/>
                <w:bCs/>
                <w:sz w:val="18"/>
                <w:szCs w:val="18"/>
              </w:rPr>
            </w:pPr>
            <w:r>
              <w:rPr>
                <w:rFonts w:ascii="Arial" w:hAnsi="Arial" w:cs="Arial"/>
                <w:b/>
                <w:bCs/>
                <w:sz w:val="18"/>
                <w:szCs w:val="18"/>
              </w:rPr>
              <w:t> </w:t>
            </w:r>
          </w:p>
        </w:tc>
        <w:tc>
          <w:tcPr>
            <w:tcW w:w="1145"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3 969,4</w:t>
            </w:r>
          </w:p>
        </w:tc>
        <w:tc>
          <w:tcPr>
            <w:tcW w:w="1316" w:type="dxa"/>
            <w:tcBorders>
              <w:top w:val="nil"/>
              <w:left w:val="nil"/>
              <w:bottom w:val="single" w:sz="4" w:space="0" w:color="auto"/>
              <w:right w:val="single" w:sz="4" w:space="0" w:color="auto"/>
            </w:tcBorders>
            <w:noWrap/>
            <w:vAlign w:val="bottom"/>
          </w:tcPr>
          <w:p w:rsidR="00036604" w:rsidRDefault="00036604">
            <w:pPr>
              <w:jc w:val="right"/>
              <w:rPr>
                <w:rFonts w:ascii="Arial" w:hAnsi="Arial" w:cs="Arial"/>
                <w:b/>
                <w:bCs/>
                <w:sz w:val="18"/>
                <w:szCs w:val="18"/>
              </w:rPr>
            </w:pPr>
            <w:r>
              <w:rPr>
                <w:rFonts w:ascii="Arial" w:hAnsi="Arial" w:cs="Arial"/>
                <w:b/>
                <w:bCs/>
                <w:sz w:val="18"/>
                <w:szCs w:val="18"/>
              </w:rPr>
              <w:t>3 969 498,00</w:t>
            </w:r>
          </w:p>
        </w:tc>
      </w:tr>
    </w:tbl>
    <w:p w:rsidR="00036604" w:rsidRDefault="00036604" w:rsidP="00556FB1">
      <w:pPr>
        <w:jc w:val="both"/>
        <w:rPr>
          <w:highlight w:val="darkYellow"/>
        </w:rPr>
      </w:pPr>
    </w:p>
    <w:p w:rsidR="00036604" w:rsidRDefault="00036604" w:rsidP="00C948FD">
      <w:pPr>
        <w:ind w:left="360" w:hanging="360"/>
        <w:jc w:val="both"/>
        <w:rPr>
          <w:highlight w:val="darkYellow"/>
        </w:rPr>
      </w:pPr>
    </w:p>
    <w:p w:rsidR="00036604" w:rsidRDefault="00036604" w:rsidP="00C948FD">
      <w:pPr>
        <w:ind w:left="360" w:hanging="360"/>
        <w:jc w:val="both"/>
        <w:rPr>
          <w:highlight w:val="darkYellow"/>
        </w:rPr>
        <w:sectPr w:rsidR="00036604" w:rsidSect="00442DA8">
          <w:pgSz w:w="16838" w:h="11906" w:orient="landscape"/>
          <w:pgMar w:top="1134" w:right="680" w:bottom="1134" w:left="680" w:header="709" w:footer="709" w:gutter="0"/>
          <w:cols w:space="708"/>
          <w:docGrid w:linePitch="360"/>
        </w:sectPr>
      </w:pPr>
    </w:p>
    <w:p w:rsidR="00036604" w:rsidRPr="00DF4912" w:rsidRDefault="00036604" w:rsidP="00C948FD">
      <w:pPr>
        <w:ind w:left="360" w:hanging="360"/>
        <w:jc w:val="both"/>
        <w:rPr>
          <w:highlight w:val="darkYellow"/>
        </w:rPr>
      </w:pPr>
    </w:p>
    <w:p w:rsidR="00036604" w:rsidRPr="00FE1F92" w:rsidRDefault="00036604" w:rsidP="004C0657">
      <w:pPr>
        <w:numPr>
          <w:ilvl w:val="0"/>
          <w:numId w:val="1"/>
        </w:numPr>
        <w:jc w:val="both"/>
        <w:rPr>
          <w:b/>
        </w:rPr>
      </w:pPr>
      <w:r w:rsidRPr="00D22228">
        <w:t xml:space="preserve"> </w:t>
      </w:r>
      <w:r w:rsidRPr="00D22228">
        <w:rPr>
          <w:b/>
          <w:u w:val="single"/>
        </w:rPr>
        <w:t>Transfery</w:t>
      </w:r>
      <w:r w:rsidRPr="00FE1F92">
        <w:rPr>
          <w:b/>
          <w:u w:val="single"/>
        </w:rPr>
        <w:t xml:space="preserve"> z rozpočtu hl.</w:t>
      </w:r>
      <w:r>
        <w:rPr>
          <w:b/>
          <w:u w:val="single"/>
        </w:rPr>
        <w:t xml:space="preserve"> </w:t>
      </w:r>
      <w:r w:rsidRPr="00FE1F92">
        <w:rPr>
          <w:b/>
          <w:u w:val="single"/>
        </w:rPr>
        <w:t>m.</w:t>
      </w:r>
      <w:r>
        <w:rPr>
          <w:b/>
          <w:u w:val="single"/>
        </w:rPr>
        <w:t xml:space="preserve"> </w:t>
      </w:r>
      <w:r w:rsidRPr="00FE1F92">
        <w:rPr>
          <w:b/>
          <w:u w:val="single"/>
        </w:rPr>
        <w:t>Prahy</w:t>
      </w:r>
    </w:p>
    <w:p w:rsidR="00036604" w:rsidRPr="00FE1F92" w:rsidRDefault="00036604" w:rsidP="004C0657">
      <w:pPr>
        <w:ind w:left="360"/>
        <w:jc w:val="both"/>
        <w:rPr>
          <w:b/>
        </w:rPr>
      </w:pPr>
    </w:p>
    <w:p w:rsidR="00036604" w:rsidRDefault="00036604" w:rsidP="008C370C">
      <w:pPr>
        <w:jc w:val="both"/>
        <w:rPr>
          <w:highlight w:val="darkYellow"/>
        </w:rPr>
      </w:pPr>
      <w:r>
        <w:t>V roce 2015</w:t>
      </w:r>
      <w:r w:rsidRPr="00FE1F92">
        <w:t xml:space="preserve"> byly městským částem poskytnuty transfery z rozpočtu hl. m. Prahy celkem ve výši </w:t>
      </w:r>
      <w:r>
        <w:t>5 745 428,6</w:t>
      </w:r>
      <w:r w:rsidRPr="00FE1F92">
        <w:t xml:space="preserve"> tis. Kč</w:t>
      </w:r>
      <w:r>
        <w:t xml:space="preserve">. </w:t>
      </w:r>
    </w:p>
    <w:p w:rsidR="00036604" w:rsidRDefault="00036604" w:rsidP="008C370C">
      <w:pPr>
        <w:jc w:val="both"/>
        <w:rPr>
          <w:highlight w:val="darkYellow"/>
        </w:rPr>
      </w:pPr>
    </w:p>
    <w:p w:rsidR="00036604" w:rsidRPr="00DF4912" w:rsidRDefault="00036604" w:rsidP="008C370C">
      <w:pPr>
        <w:jc w:val="both"/>
        <w:rPr>
          <w:highlight w:val="darkYellow"/>
        </w:rPr>
      </w:pPr>
    </w:p>
    <w:p w:rsidR="00036604" w:rsidRDefault="00036604" w:rsidP="004C0657">
      <w:pPr>
        <w:jc w:val="both"/>
      </w:pPr>
      <w:r w:rsidRPr="00FE1F92">
        <w:t xml:space="preserve">Objem </w:t>
      </w:r>
      <w:r w:rsidRPr="00FE1F92">
        <w:rPr>
          <w:b/>
          <w:u w:val="single"/>
        </w:rPr>
        <w:t>neinvestičního transferu městským částem z rozpočtu hl. m. Prahy</w:t>
      </w:r>
      <w:r w:rsidRPr="00FE1F92">
        <w:t xml:space="preserve"> na rok 201</w:t>
      </w:r>
      <w:r>
        <w:t>5</w:t>
      </w:r>
      <w:r w:rsidRPr="00FE1F92">
        <w:t xml:space="preserve"> byl schválen ve výši 3</w:t>
      </w:r>
      <w:r>
        <w:t> 550 152,2</w:t>
      </w:r>
      <w:r w:rsidRPr="00FE1F92">
        <w:t xml:space="preserve"> tis. Kč, tzv. </w:t>
      </w:r>
      <w:r>
        <w:t xml:space="preserve">finanční </w:t>
      </w:r>
      <w:r w:rsidRPr="00FE1F92">
        <w:t>vztah k městským č</w:t>
      </w:r>
      <w:r>
        <w:t>ástem z rozpočtu hl. m. Prahy (F</w:t>
      </w:r>
      <w:r w:rsidRPr="00FE1F92">
        <w:t xml:space="preserve">Vz). </w:t>
      </w:r>
      <w:r>
        <w:t xml:space="preserve">Na základě usnesení Zastupitelstva hl m. Prahy byl tento finanční vztah snížen o 33 500,0 tis. Kč z důvodu vyrovnání neuhrazené finanční částky městskou částí Praha 5, kterou hl. m. Praha požadovalo z titulu úhrady vratky kupní ceny (inkasované MČ Praha 5) společnosti DENIKA REAL 2 000, a.s. </w:t>
      </w:r>
    </w:p>
    <w:p w:rsidR="00036604" w:rsidRDefault="00036604" w:rsidP="004C0657">
      <w:pPr>
        <w:jc w:val="both"/>
      </w:pPr>
    </w:p>
    <w:p w:rsidR="00036604" w:rsidRPr="00122DAD" w:rsidRDefault="00036604" w:rsidP="004C0657">
      <w:pPr>
        <w:jc w:val="both"/>
      </w:pPr>
      <w:r>
        <w:t xml:space="preserve">Celkem </w:t>
      </w:r>
      <w:r w:rsidRPr="00FE1F92">
        <w:t>byla</w:t>
      </w:r>
      <w:r>
        <w:t xml:space="preserve"> v roce 2015</w:t>
      </w:r>
      <w:r w:rsidRPr="00FE1F92">
        <w:t xml:space="preserve"> ve vztahu k městským částem hl. m. Prahy provedena  rozpočtová opatření, jimiž jim byly uvolněny </w:t>
      </w:r>
      <w:r w:rsidRPr="00FE1F92">
        <w:rPr>
          <w:bCs/>
        </w:rPr>
        <w:t>neinvestiční dotace</w:t>
      </w:r>
      <w:r w:rsidRPr="00FE1F92">
        <w:t xml:space="preserve">  v celkové výši </w:t>
      </w:r>
      <w:r w:rsidRPr="00F86629">
        <w:t>1 594 778,0 tis. Kč</w:t>
      </w:r>
      <w:r w:rsidRPr="00FE1F92">
        <w:t xml:space="preserve"> </w:t>
      </w:r>
      <w:r w:rsidRPr="00FE1F92">
        <w:rPr>
          <w:iCs/>
        </w:rPr>
        <w:t>(viz</w:t>
      </w:r>
      <w:r>
        <w:rPr>
          <w:iCs/>
        </w:rPr>
        <w:t>.</w:t>
      </w:r>
      <w:r w:rsidRPr="00FE1F92">
        <w:rPr>
          <w:iCs/>
        </w:rPr>
        <w:t xml:space="preserve"> část III.5.3). </w:t>
      </w:r>
    </w:p>
    <w:p w:rsidR="00036604" w:rsidRPr="008B336C" w:rsidRDefault="00036604" w:rsidP="004C0657">
      <w:pPr>
        <w:jc w:val="both"/>
        <w:rPr>
          <w:highlight w:val="yellow"/>
        </w:rPr>
      </w:pPr>
    </w:p>
    <w:p w:rsidR="00036604" w:rsidRDefault="00036604" w:rsidP="004C0657">
      <w:pPr>
        <w:jc w:val="both"/>
      </w:pPr>
      <w:r w:rsidRPr="001E643E">
        <w:t xml:space="preserve">Z neinvestičních dotací poskytnutých městským částem hl. m. Prahy z rozpočtu hl. m. Prahy </w:t>
      </w:r>
      <w:r>
        <w:t>v roce 2015</w:t>
      </w:r>
      <w:r w:rsidRPr="001E643E">
        <w:t xml:space="preserve"> činí</w:t>
      </w:r>
      <w:r w:rsidRPr="001E643E">
        <w:rPr>
          <w:iCs/>
        </w:rPr>
        <w:t xml:space="preserve"> </w:t>
      </w:r>
      <w:r>
        <w:rPr>
          <w:iCs/>
        </w:rPr>
        <w:t>969 897,2</w:t>
      </w:r>
      <w:r w:rsidRPr="001E643E">
        <w:rPr>
          <w:iCs/>
        </w:rPr>
        <w:t xml:space="preserve"> tis. Kč </w:t>
      </w:r>
      <w:r w:rsidRPr="001E643E">
        <w:rPr>
          <w:iCs/>
          <w:u w:val="single"/>
        </w:rPr>
        <w:t>neúčelová dotace</w:t>
      </w:r>
      <w:r w:rsidRPr="001E643E">
        <w:rPr>
          <w:iCs/>
        </w:rPr>
        <w:t xml:space="preserve"> ve výši vratky podílů MČ </w:t>
      </w:r>
      <w:r w:rsidRPr="001E643E">
        <w:rPr>
          <w:iCs/>
        </w:rPr>
        <w:br/>
        <w:t>na daňové povinnosti hl. m. Prahy na dani z příjmů právnických osob</w:t>
      </w:r>
      <w:r w:rsidRPr="001E643E">
        <w:t xml:space="preserve"> za rok 201</w:t>
      </w:r>
      <w:r>
        <w:t>4</w:t>
      </w:r>
      <w:r w:rsidRPr="001E643E">
        <w:t xml:space="preserve">. </w:t>
      </w:r>
    </w:p>
    <w:p w:rsidR="00036604" w:rsidRDefault="00036604" w:rsidP="004C0657">
      <w:pPr>
        <w:jc w:val="both"/>
      </w:pPr>
    </w:p>
    <w:p w:rsidR="00036604" w:rsidRDefault="00036604" w:rsidP="004C0657">
      <w:pPr>
        <w:jc w:val="both"/>
        <w:rPr>
          <w:u w:val="single"/>
        </w:rPr>
      </w:pPr>
      <w:r>
        <w:t xml:space="preserve">Další významné navýšení transferů z rozpočtu hl. m. Prahy představuje </w:t>
      </w:r>
      <w:r w:rsidRPr="002C6872">
        <w:rPr>
          <w:u w:val="single"/>
        </w:rPr>
        <w:t>návratná finanční výpomoc</w:t>
      </w:r>
      <w:r>
        <w:t xml:space="preserve"> ve výši 30 000,0 tis. Kč poskytnutá MČ Praha 19 na výstavbu základní školy včetně jídelny z dočasně volných zdrojů hl. m. Prahy. </w:t>
      </w:r>
    </w:p>
    <w:p w:rsidR="00036604" w:rsidRDefault="00036604" w:rsidP="004C0657">
      <w:pPr>
        <w:jc w:val="both"/>
      </w:pPr>
    </w:p>
    <w:p w:rsidR="00036604" w:rsidRDefault="00036604" w:rsidP="004C0657">
      <w:pPr>
        <w:jc w:val="both"/>
      </w:pPr>
      <w:r w:rsidRPr="002D2D75">
        <w:t xml:space="preserve">V rámci </w:t>
      </w:r>
      <w:r w:rsidRPr="002D2D75">
        <w:rPr>
          <w:u w:val="single"/>
        </w:rPr>
        <w:t>finančního vypořádání</w:t>
      </w:r>
      <w:r w:rsidRPr="002D2D75">
        <w:t xml:space="preserve"> za rok 2014 </w:t>
      </w:r>
      <w:r>
        <w:t xml:space="preserve">byly městským částem poskytnuty finanční prostředky ve výši 88 100,7 tis. Kč. Jejich výši ovlivnilo především vrácení nevyčerpané dotace městské části Praha 10 ve výši 49 500,0 tis. Kč poskytnuté hl. m. Praze pro TSK a dokrytí finančního vztahu z rozpočtu hl. m. Prahy na rok 2014 MČ Praha 5 ve výši 33 500,0 tis. Kč. </w:t>
      </w:r>
    </w:p>
    <w:p w:rsidR="00036604" w:rsidRDefault="00036604" w:rsidP="004C0657">
      <w:pPr>
        <w:jc w:val="both"/>
        <w:rPr>
          <w:u w:val="single"/>
        </w:rPr>
      </w:pPr>
    </w:p>
    <w:p w:rsidR="00036604" w:rsidRPr="006D69AF" w:rsidRDefault="00036604" w:rsidP="004C0657">
      <w:pPr>
        <w:jc w:val="both"/>
        <w:rPr>
          <w:u w:val="single"/>
        </w:rPr>
      </w:pPr>
      <w:r w:rsidRPr="001E643E">
        <w:t xml:space="preserve">Podstatnou část z </w:t>
      </w:r>
      <w:r w:rsidRPr="001E643E">
        <w:rPr>
          <w:u w:val="single"/>
        </w:rPr>
        <w:t>účelově poskytnutých neinvestiční prostředků</w:t>
      </w:r>
      <w:r w:rsidRPr="001E643E">
        <w:t xml:space="preserve"> </w:t>
      </w:r>
      <w:r>
        <w:t xml:space="preserve">rozpočtově </w:t>
      </w:r>
      <w:r w:rsidRPr="002464AE">
        <w:t xml:space="preserve">celkem </w:t>
      </w:r>
      <w:r w:rsidRPr="00F86629">
        <w:t>ve výši 540 280,1 tis. Kč</w:t>
      </w:r>
      <w:r w:rsidRPr="001E643E">
        <w:t xml:space="preserve"> činila dotace z podílu na odvodu </w:t>
      </w:r>
      <w:r w:rsidRPr="006D69AF">
        <w:rPr>
          <w:u w:val="single"/>
        </w:rPr>
        <w:t>z výherních hracích přístrojů</w:t>
      </w:r>
      <w:r w:rsidRPr="001E643E">
        <w:t xml:space="preserve"> ve výši </w:t>
      </w:r>
      <w:r>
        <w:t>276 056,0 tis. Kč, která je určena z 25</w:t>
      </w:r>
      <w:r w:rsidRPr="001E643E">
        <w:t xml:space="preserve"> % na podporu činnosti nestátních neziskových organizací působ</w:t>
      </w:r>
      <w:r>
        <w:t xml:space="preserve">ících na území městských částí </w:t>
      </w:r>
      <w:r w:rsidRPr="001E643E">
        <w:t>zajišťujících dlouhodobě organizovanou sportovní výchovu mládeže</w:t>
      </w:r>
      <w:r>
        <w:t xml:space="preserve">, z 25 % na sport </w:t>
      </w:r>
      <w:r w:rsidRPr="001E643E">
        <w:t xml:space="preserve">a z </w:t>
      </w:r>
      <w:r>
        <w:t xml:space="preserve">50 % </w:t>
      </w:r>
      <w:r w:rsidRPr="001E643E">
        <w:t xml:space="preserve">na kulturu, školství, zdravotnictví a sociální oblast. Další účelové dotace byly </w:t>
      </w:r>
      <w:r w:rsidRPr="006D69AF">
        <w:t xml:space="preserve">směrovány </w:t>
      </w:r>
      <w:r w:rsidRPr="006D69AF">
        <w:rPr>
          <w:u w:val="single"/>
        </w:rPr>
        <w:t>do oblasti školství</w:t>
      </w:r>
      <w:r>
        <w:t>,</w:t>
      </w:r>
      <w:r w:rsidRPr="001E643E">
        <w:t xml:space="preserve"> zejména </w:t>
      </w:r>
      <w:r>
        <w:t xml:space="preserve">na integraci žáků </w:t>
      </w:r>
      <w:r w:rsidRPr="006D69AF">
        <w:t>na asistenty pedagoga</w:t>
      </w:r>
      <w:r w:rsidRPr="001E643E">
        <w:t xml:space="preserve"> pro školská zařízení zřízená městskými částmi (</w:t>
      </w:r>
      <w:r>
        <w:t>86 967,3</w:t>
      </w:r>
      <w:r w:rsidRPr="001E643E">
        <w:t xml:space="preserve"> tis. Kč)</w:t>
      </w:r>
      <w:r>
        <w:t>, na posílení mzdových prostředků v obecním školství (67 992,9 tis. Kč)</w:t>
      </w:r>
      <w:r w:rsidRPr="001E643E">
        <w:t>,</w:t>
      </w:r>
      <w:r>
        <w:t xml:space="preserve"> na projekty navýšení výukových kapacit ZŠ a MŠ podpořené z MŠMT (4 894,5 tis. Kč),</w:t>
      </w:r>
      <w:r w:rsidRPr="001E643E">
        <w:t xml:space="preserve"> </w:t>
      </w:r>
      <w:r>
        <w:t xml:space="preserve">dále </w:t>
      </w:r>
      <w:r w:rsidRPr="001E643E">
        <w:t xml:space="preserve">na granty v oblasti sociální péče a podporu aktivit v oblasti sociálních </w:t>
      </w:r>
      <w:r w:rsidRPr="00F86629">
        <w:t>služeb (12 582,5 tis. Kč), na opravy techniky</w:t>
      </w:r>
      <w:r>
        <w:t>,</w:t>
      </w:r>
      <w:r w:rsidRPr="00F86629">
        <w:t xml:space="preserve"> požární výstroj</w:t>
      </w:r>
      <w:r>
        <w:t xml:space="preserve"> a další provozní výdaje</w:t>
      </w:r>
      <w:r w:rsidRPr="00F86629">
        <w:t xml:space="preserve"> pro jednotky </w:t>
      </w:r>
      <w:r w:rsidRPr="00826D84">
        <w:rPr>
          <w:u w:val="single"/>
        </w:rPr>
        <w:t>sborů dobrovolných hasičů</w:t>
      </w:r>
      <w:r w:rsidRPr="00F86629">
        <w:t xml:space="preserve"> (</w:t>
      </w:r>
      <w:r>
        <w:t>11 117,4</w:t>
      </w:r>
      <w:r w:rsidRPr="00F86629">
        <w:t xml:space="preserve"> tis. Kč), na celoměstské programy </w:t>
      </w:r>
      <w:r w:rsidRPr="00826D84">
        <w:rPr>
          <w:u w:val="single"/>
        </w:rPr>
        <w:t>podpory vzdělávání</w:t>
      </w:r>
      <w:r w:rsidRPr="00F86629">
        <w:t xml:space="preserve"> (1 </w:t>
      </w:r>
      <w:r>
        <w:t xml:space="preserve">103,5 tis. Kč), na provozování </w:t>
      </w:r>
      <w:r w:rsidRPr="00826D84">
        <w:rPr>
          <w:u w:val="single"/>
        </w:rPr>
        <w:t>sběrných dvorů</w:t>
      </w:r>
      <w:r w:rsidRPr="00F86629">
        <w:t xml:space="preserve"> MČ Praha 12, 16, 20 (14 100,0 tis. Kč), na zvýšení dotace z poplatku za ukládání odpadu o inflaci (75,5 tis. Kč), na projekty specifické </w:t>
      </w:r>
      <w:r w:rsidRPr="00826D84">
        <w:rPr>
          <w:u w:val="single"/>
        </w:rPr>
        <w:t>protidrogové prevence</w:t>
      </w:r>
      <w:r w:rsidRPr="00F86629">
        <w:t xml:space="preserve"> „Zdravé město“ (3 935,8 tis. Kč), na</w:t>
      </w:r>
      <w:r>
        <w:t xml:space="preserve"> </w:t>
      </w:r>
      <w:r w:rsidRPr="00826D84">
        <w:rPr>
          <w:u w:val="single"/>
        </w:rPr>
        <w:t>prevenci kriminality</w:t>
      </w:r>
      <w:r w:rsidRPr="001E643E">
        <w:t xml:space="preserve"> (</w:t>
      </w:r>
      <w:r>
        <w:t>1 634,0</w:t>
      </w:r>
      <w:r w:rsidRPr="001E643E">
        <w:t xml:space="preserve"> tis. Kč), na </w:t>
      </w:r>
      <w:r>
        <w:rPr>
          <w:u w:val="single"/>
        </w:rPr>
        <w:t xml:space="preserve">zkoušky </w:t>
      </w:r>
      <w:r w:rsidRPr="00826D84">
        <w:rPr>
          <w:u w:val="single"/>
        </w:rPr>
        <w:t>zvláštní odborné způsobilosti</w:t>
      </w:r>
      <w:r w:rsidRPr="001E643E">
        <w:t xml:space="preserve"> (</w:t>
      </w:r>
      <w:r>
        <w:t>3 776,3</w:t>
      </w:r>
      <w:r w:rsidRPr="001E643E">
        <w:t xml:space="preserve"> tis. Kč), </w:t>
      </w:r>
      <w:r w:rsidRPr="00826D84">
        <w:rPr>
          <w:u w:val="single"/>
        </w:rPr>
        <w:t>na místní lidové knihovny a údržbu plastik</w:t>
      </w:r>
      <w:r w:rsidRPr="001E643E">
        <w:t xml:space="preserve"> (celkem </w:t>
      </w:r>
      <w:r>
        <w:t>1 288,9</w:t>
      </w:r>
      <w:r w:rsidRPr="001E643E">
        <w:t xml:space="preserve"> tis. Kč)</w:t>
      </w:r>
      <w:r>
        <w:t xml:space="preserve">, </w:t>
      </w:r>
      <w:r w:rsidRPr="00826D84">
        <w:rPr>
          <w:u w:val="single"/>
        </w:rPr>
        <w:t>na integraci cizinců</w:t>
      </w:r>
      <w:r>
        <w:t xml:space="preserve"> (215,0 tis. Kč), na </w:t>
      </w:r>
      <w:r w:rsidRPr="00826D84">
        <w:rPr>
          <w:u w:val="single"/>
        </w:rPr>
        <w:t>provoz plaveckých bazénů</w:t>
      </w:r>
      <w:r>
        <w:t xml:space="preserve"> (celkem 730,0 tis. Kč), na projekty v oblasti </w:t>
      </w:r>
      <w:r w:rsidRPr="00826D84">
        <w:rPr>
          <w:u w:val="single"/>
        </w:rPr>
        <w:t>volného času dětí a mládeže</w:t>
      </w:r>
      <w:r>
        <w:t xml:space="preserve"> (193,9 tis. Kč), na projekty ke </w:t>
      </w:r>
      <w:r w:rsidRPr="00826D84">
        <w:rPr>
          <w:u w:val="single"/>
        </w:rPr>
        <w:t>zlepšení stavu životního prostředí</w:t>
      </w:r>
      <w:r>
        <w:t xml:space="preserve"> (80,0 tis. Kč), na podporu v oblasti </w:t>
      </w:r>
      <w:r w:rsidRPr="00826D84">
        <w:rPr>
          <w:u w:val="single"/>
        </w:rPr>
        <w:t>zdravotní péče</w:t>
      </w:r>
      <w:r>
        <w:t xml:space="preserve"> (310,0 tis. Kč), na řešení problematiky </w:t>
      </w:r>
      <w:r w:rsidRPr="00826D84">
        <w:rPr>
          <w:u w:val="single"/>
        </w:rPr>
        <w:t>bezdomovectví</w:t>
      </w:r>
      <w:r>
        <w:t xml:space="preserve"> (2 125,0 tis. Kč), na </w:t>
      </w:r>
      <w:r w:rsidRPr="00826D84">
        <w:rPr>
          <w:u w:val="single"/>
        </w:rPr>
        <w:t>mapování bezbariérovosti</w:t>
      </w:r>
      <w:r>
        <w:t xml:space="preserve"> (736,5 tis. Kč), na výrobu a instalaci </w:t>
      </w:r>
      <w:r w:rsidRPr="00826D84">
        <w:rPr>
          <w:u w:val="single"/>
        </w:rPr>
        <w:t>vodočetných latí</w:t>
      </w:r>
      <w:r>
        <w:t xml:space="preserve"> (502,0 tis. Kč), na projekty v rámci Programu </w:t>
      </w:r>
      <w:r w:rsidRPr="00826D84">
        <w:rPr>
          <w:u w:val="single"/>
        </w:rPr>
        <w:t>Čistá energie</w:t>
      </w:r>
      <w:r>
        <w:t xml:space="preserve"> Praha 2015 (945,8 tis. Kč), na odstranění </w:t>
      </w:r>
      <w:r w:rsidRPr="00826D84">
        <w:rPr>
          <w:u w:val="single"/>
        </w:rPr>
        <w:t>povodňových škod</w:t>
      </w:r>
      <w:r>
        <w:t xml:space="preserve"> (227,4 tis. Kč) a na </w:t>
      </w:r>
      <w:r w:rsidRPr="00826D84">
        <w:rPr>
          <w:u w:val="single"/>
        </w:rPr>
        <w:t>spolufinancování projektů podpořených ze SFŽP</w:t>
      </w:r>
      <w:r>
        <w:t xml:space="preserve"> (26,7 tis. Kč). </w:t>
      </w:r>
    </w:p>
    <w:p w:rsidR="00036604" w:rsidRDefault="00036604" w:rsidP="004C0657">
      <w:pPr>
        <w:jc w:val="both"/>
      </w:pPr>
    </w:p>
    <w:p w:rsidR="00036604" w:rsidRDefault="00036604" w:rsidP="004C0657">
      <w:pPr>
        <w:jc w:val="both"/>
      </w:pPr>
      <w:r>
        <w:t xml:space="preserve">Ke zvýšení objemu poskytnutých neinvestičních dotací z rozpočtu hl. m. Prahy došlo rovněž díky změně charakteru u části poskytnutých investičních dotací na neinvestiční celkem ve výši 8 688,2 tis. Kč, přičemž největší změna ve výši 8 000,0 tis. Kč se týkala investiční dotace poskytnuté MČ Praha - Březiněves na výstavbu II. etapy MŠ, která byla změněna na neinvestiční dotaci na vybavení tříd a kuchyně této MŠ. </w:t>
      </w:r>
    </w:p>
    <w:p w:rsidR="00036604" w:rsidRDefault="00036604" w:rsidP="004C0657">
      <w:pPr>
        <w:jc w:val="both"/>
      </w:pPr>
    </w:p>
    <w:p w:rsidR="00036604" w:rsidRDefault="00036604" w:rsidP="004C0657">
      <w:pPr>
        <w:jc w:val="both"/>
      </w:pPr>
      <w:r>
        <w:t xml:space="preserve">Součástí schváleného rozpočtu vlastního hl. m. Prahy na rok 2015 byla </w:t>
      </w:r>
      <w:r w:rsidRPr="00826D84">
        <w:rPr>
          <w:u w:val="single"/>
        </w:rPr>
        <w:t>rezerva pro městské</w:t>
      </w:r>
      <w:r>
        <w:t xml:space="preserve"> </w:t>
      </w:r>
      <w:r w:rsidRPr="00826D84">
        <w:rPr>
          <w:u w:val="single"/>
        </w:rPr>
        <w:t>části</w:t>
      </w:r>
      <w:r>
        <w:t xml:space="preserve"> na krytí neinvestičních požadavků ve výši 150 mil. Kč. </w:t>
      </w:r>
      <w:r w:rsidRPr="00826D84">
        <w:t>Z této rezervy</w:t>
      </w:r>
      <w:r>
        <w:t xml:space="preserve"> byly poskytnuty městským částem neinvestiční dotace celkem ve výši 20 760,0 tis. Kč, z toho do oblasti školství celkem 14 160,0 tis. Kč, do oblasti sociální 5 500,0 tis. Kč a do ostatních oblastí 1 100,0 tis. Kč. (Zbývající část finančních prostředků byla městským částem poskytnuta formou investiční dotace).</w:t>
      </w:r>
    </w:p>
    <w:p w:rsidR="00036604" w:rsidRDefault="00036604" w:rsidP="004C0657">
      <w:pPr>
        <w:jc w:val="both"/>
      </w:pPr>
    </w:p>
    <w:p w:rsidR="00036604" w:rsidRDefault="00036604" w:rsidP="004C0657">
      <w:pPr>
        <w:jc w:val="both"/>
      </w:pPr>
      <w:r>
        <w:t>Dále byly městským částem poskytnuty neinvestiční dotace z rozpočtu hl. m. Prahy, a to MČ Praha 1 na provoz v oblasti zajištění bezodkladné intenzivní péče v Nemocnici na Františku ve výši 5 000,0 tis. Kč, schválená v kap. 05 rozpočtu hl. m. Prahy na rok 2015, MČ Praha 3 na provoz Integračního centra Praha 3 rovněž ve výši 5 000,0 tis. Kč, MČ Praha - Nedvězí byla poskytnuta dotace ve výši 385,0 tis. Kč na úhradu náhrady za odstraněný objekt a MČ Praha – Zličín dotace ve výši 5 500,0 tis. Kč na opravu přemostění Zličín – Řepy, MČ Praha – Březiněves na vybavení MŠ ve výši 3 000,0 tis. Kč a MČ Praha - Lipence na opravu nezpevněných ploch a instalaci zpomalovacích pruhů ve výši 330,0 tis. Kč.</w:t>
      </w:r>
    </w:p>
    <w:p w:rsidR="00036604" w:rsidRDefault="00036604" w:rsidP="004C0657">
      <w:pPr>
        <w:jc w:val="both"/>
      </w:pPr>
    </w:p>
    <w:p w:rsidR="00036604" w:rsidRPr="00D817C6" w:rsidRDefault="00036604" w:rsidP="004C0657">
      <w:pPr>
        <w:jc w:val="both"/>
      </w:pPr>
    </w:p>
    <w:p w:rsidR="00036604" w:rsidRPr="00D817C6" w:rsidRDefault="00036604" w:rsidP="004C0657">
      <w:pPr>
        <w:jc w:val="both"/>
      </w:pPr>
      <w:r w:rsidRPr="00826D84">
        <w:t xml:space="preserve">Ve sledovaném období byla z rozpočtu hl. m. Prahy provedena ve vztahu k městským částem rovněž rozpočtová opatření, jimiž jim byly poskytnuty </w:t>
      </w:r>
      <w:r w:rsidRPr="00826D84">
        <w:rPr>
          <w:b/>
          <w:u w:val="single"/>
        </w:rPr>
        <w:t xml:space="preserve">účelové </w:t>
      </w:r>
      <w:r w:rsidRPr="00826D84">
        <w:rPr>
          <w:b/>
          <w:bCs/>
          <w:u w:val="single"/>
        </w:rPr>
        <w:t>investiční dotace</w:t>
      </w:r>
      <w:r w:rsidRPr="00826D84">
        <w:t xml:space="preserve">  v celkové výši </w:t>
      </w:r>
      <w:r w:rsidRPr="00826D84">
        <w:rPr>
          <w:b/>
        </w:rPr>
        <w:t>606 353,2 tis. Kč</w:t>
      </w:r>
      <w:r w:rsidRPr="00826D84">
        <w:t xml:space="preserve"> </w:t>
      </w:r>
      <w:r w:rsidRPr="00826D84">
        <w:rPr>
          <w:i/>
          <w:iCs/>
        </w:rPr>
        <w:t>(viz část III.5.3)</w:t>
      </w:r>
      <w:r w:rsidRPr="00826D84">
        <w:t>.</w:t>
      </w:r>
      <w:r w:rsidRPr="00D817C6">
        <w:t xml:space="preserve"> </w:t>
      </w:r>
    </w:p>
    <w:p w:rsidR="00036604" w:rsidRDefault="00036604" w:rsidP="004C0657">
      <w:pPr>
        <w:ind w:left="360"/>
        <w:jc w:val="both"/>
      </w:pPr>
    </w:p>
    <w:p w:rsidR="00036604" w:rsidRDefault="00036604" w:rsidP="004C0657">
      <w:pPr>
        <w:jc w:val="both"/>
        <w:outlineLvl w:val="0"/>
      </w:pPr>
      <w:r>
        <w:t xml:space="preserve">Ve schváleném rozpočtu vlastního hl. m. Prahy byly obsaženy </w:t>
      </w:r>
      <w:r w:rsidRPr="00BC50D2">
        <w:rPr>
          <w:u w:val="single"/>
        </w:rPr>
        <w:t>rezervy pro městské části hl. m. Prahy</w:t>
      </w:r>
      <w:r>
        <w:t xml:space="preserve"> celkem ve výši 300 000 tis. Kč na krytí potřeb městských částí hl. m. Prahy investičního charakteru a neinvestičního charakteru. Vzhledem k tomu, že předložené požadavky městských částí téměř 3,4 krát překročily vytvořené rezervy, byl objem prostředků určených na dotace pro městské části posílen o 100 000 tis. Kč snížením rozpočtu kapitálových výdajů vlastního hl. m. Prahy, a to na akci Celková přestavba a rozšíření ÚČOV na Císařském ostrově ve výši 50 000 tis. Kč a na akci MO Špejchar - Pelc/Tyrolka rovněž ve výši 50 000 tis. Kč, neboť tyto finanční prostředky v letošním roce nebudou v rámci daných akcí čerpány. Z těchto finančních prostředků bylo městským částem poskytnuto 20 760,0 tis. Kč na krytí neinvestičních požadavků (viz. odst. neinvestiční transfery městským částem z rozpočtu hl. m. Prahy) a </w:t>
      </w:r>
      <w:r w:rsidRPr="00BC50D2">
        <w:rPr>
          <w:u w:val="single"/>
        </w:rPr>
        <w:t>379 240,0 tis. Kč na krytí investičních potřeb</w:t>
      </w:r>
      <w:r>
        <w:t xml:space="preserve">. Investiční dotace poskytnuté městským částem byly směrovány především do oblasti školství, celkem ve výši 344 500,0 tis. Kč, neboť nárůst počtu dětí v hl. m. Praze způsobuje v posledních letech především okrajovým městským částem velký problém s jejich umísťování v školních zařízeních, jejichž dosavadní kapacita je nedostatečná. Na investiční požadavky v sociální oblasti bylo uvolněno 13 075,0 tis. Kč a do ostatních oblastí 21 665,0 tis. Kč.  </w:t>
      </w:r>
    </w:p>
    <w:p w:rsidR="00036604" w:rsidRDefault="00036604" w:rsidP="004C0657">
      <w:pPr>
        <w:ind w:left="360"/>
        <w:jc w:val="both"/>
      </w:pPr>
    </w:p>
    <w:p w:rsidR="00036604" w:rsidRDefault="00036604" w:rsidP="004C0657">
      <w:pPr>
        <w:jc w:val="both"/>
      </w:pPr>
      <w:r w:rsidRPr="0098160E">
        <w:rPr>
          <w:u w:val="single"/>
        </w:rPr>
        <w:t>Z rezervy na</w:t>
      </w:r>
      <w:r w:rsidRPr="00AD3AB0">
        <w:rPr>
          <w:u w:val="single"/>
        </w:rPr>
        <w:t xml:space="preserve"> spolufinancování projektů EU/EHP</w:t>
      </w:r>
      <w:r>
        <w:t xml:space="preserve"> byly městským částem poskytnuty investiční dotace na spolufinancování projektů podpořených z Ministerstva životního prostředí v rámci OPŽP zaměřených na snižování energetické náročnosti objektů celkem ve výši 60 209,5 Kč a na projekty zkvalitňování nakládání s odpady 857,5 tis. Kč. Další dotace z této rezervy byly poskytnuty na projekt revitalizace zámeckého parku v Praze - Dolních Počernicích ve výši 8 629,6 tis. Kč, na projekt Rekreační les Za Brodem v Kolovratech ve výši 41,2 tis. Kč a revitalizaci parku se Slivenci ve výši 280,8 tis. Kč, na pokrytí naléhavých požadavků městských částí v oblasti školství 60 000,0 tis. Kč a na projekty rozšíření výukových kapacit MŠ a ZŠ podpořené z MŠMT 39 004,7 tis. Kč. </w:t>
      </w:r>
    </w:p>
    <w:p w:rsidR="00036604" w:rsidRDefault="00036604" w:rsidP="004C0657">
      <w:pPr>
        <w:jc w:val="both"/>
      </w:pPr>
    </w:p>
    <w:p w:rsidR="00036604" w:rsidRDefault="00036604" w:rsidP="004C0657">
      <w:pPr>
        <w:jc w:val="both"/>
      </w:pPr>
    </w:p>
    <w:p w:rsidR="00036604" w:rsidRDefault="00036604" w:rsidP="004C0657">
      <w:pPr>
        <w:jc w:val="both"/>
      </w:pPr>
      <w:r>
        <w:t xml:space="preserve">Další investiční dotace byly městským částem poskytnuty z jednotlivých kapitol rozpočtu hl. m. Prahy, a to: </w:t>
      </w:r>
    </w:p>
    <w:p w:rsidR="00036604" w:rsidRDefault="00036604" w:rsidP="004C0657">
      <w:pPr>
        <w:jc w:val="both"/>
      </w:pPr>
      <w:r w:rsidRPr="001E643E">
        <w:rPr>
          <w:u w:val="single"/>
        </w:rPr>
        <w:t xml:space="preserve">z kapitoly </w:t>
      </w:r>
      <w:r w:rsidRPr="0098160E">
        <w:rPr>
          <w:u w:val="single"/>
        </w:rPr>
        <w:t>02 – městská infrastruktura</w:t>
      </w:r>
      <w:r>
        <w:t>, a to</w:t>
      </w:r>
      <w:r w:rsidRPr="001E643E">
        <w:t xml:space="preserve"> MČ Praha </w:t>
      </w:r>
      <w:r>
        <w:t xml:space="preserve">- Vinoř na „Revitalizaci území u ulice V Podskalí, 2. část“ </w:t>
      </w:r>
      <w:r w:rsidRPr="001E643E">
        <w:t xml:space="preserve">ve výši </w:t>
      </w:r>
      <w:r>
        <w:t xml:space="preserve">6 634,9 tis. Kč, MČ Praha – Čakovice na „Propojovací chodník ulice Bělomlýnská“ ve výši 4 412,4 tis. Kč, MČ Praha – Přední Kopanina na rozšíření čističky odpadních vod, vodovodní </w:t>
      </w:r>
      <w:r w:rsidRPr="002B6132">
        <w:rPr>
          <w:color w:val="000000"/>
        </w:rPr>
        <w:t>řad</w:t>
      </w:r>
      <w:r>
        <w:t xml:space="preserve"> a kanalizační systém celkem ve výši 3 500,0 tis. Kč, MČ Praha – Slivenec na obnovu nádvoří u ZŠ ve výši 4 000,0 tis. Kč, MČ Praha 16 na cyklostezky a řešení infrastruktury 5 930,0 tis. Kč, MČ Praha 15 na výstavbu kanalizačního řadu ve výši 5 688,8 tis. Kč;</w:t>
      </w:r>
    </w:p>
    <w:p w:rsidR="00036604" w:rsidRDefault="00036604" w:rsidP="004C0657">
      <w:pPr>
        <w:jc w:val="both"/>
      </w:pPr>
      <w:r w:rsidRPr="009B63AC">
        <w:rPr>
          <w:u w:val="single"/>
        </w:rPr>
        <w:t>z kapitoly 05 – zdravotnictví a sociální oblast</w:t>
      </w:r>
      <w:r>
        <w:t xml:space="preserve"> MČ Praha 1 na Rekonstrukci střediska pomoci ženám v sociální nouzi ve výši 4 765,0 tis. Kč a MČ Praha 5 na zřízení azylového domu pro nemocné lidi bez přístřeší ve výši 5 000,0 tis. Kč;</w:t>
      </w:r>
    </w:p>
    <w:p w:rsidR="00036604" w:rsidRDefault="00036604" w:rsidP="004C0657">
      <w:pPr>
        <w:jc w:val="both"/>
      </w:pPr>
      <w:r>
        <w:t>z </w:t>
      </w:r>
      <w:r w:rsidRPr="0028514B">
        <w:rPr>
          <w:u w:val="single"/>
        </w:rPr>
        <w:t>kapitoly 07 – bezpečnost</w:t>
      </w:r>
      <w:r>
        <w:t xml:space="preserve"> na investiční výdaje jednotek sborů dobrovolných hasičů ve výši 2 087,0 tis. Kč;</w:t>
      </w:r>
    </w:p>
    <w:p w:rsidR="00036604" w:rsidRDefault="00036604" w:rsidP="004C0657">
      <w:pPr>
        <w:jc w:val="both"/>
      </w:pPr>
      <w:r w:rsidRPr="007C6EA8">
        <w:rPr>
          <w:u w:val="single"/>
        </w:rPr>
        <w:t>z kapitoly 10 z neúčelové rezervy</w:t>
      </w:r>
      <w:r>
        <w:t xml:space="preserve"> rozpočtu hl. m. Prahy obdržely městské části investiční dotace ve výši 24 760,0 tis. Kč na pokrytí požadavků </w:t>
      </w:r>
      <w:r w:rsidRPr="00DB5ED2">
        <w:rPr>
          <w:u w:val="single"/>
        </w:rPr>
        <w:t>z oblasti školství</w:t>
      </w:r>
      <w:r>
        <w:t xml:space="preserve">. </w:t>
      </w:r>
    </w:p>
    <w:p w:rsidR="00036604" w:rsidRDefault="00036604" w:rsidP="004C0657">
      <w:pPr>
        <w:jc w:val="both"/>
      </w:pPr>
    </w:p>
    <w:p w:rsidR="00036604" w:rsidRDefault="00036604" w:rsidP="004C0657">
      <w:pPr>
        <w:jc w:val="both"/>
      </w:pPr>
      <w:r>
        <w:t>Naopak ke snížení objemu poskytnutých investičních dotací městským částem z rozpočtu hl. m. Prahy došlo díky změně charakteru dotací z investičních na neinvestiční celkem ve výši 8 688,2 tis. Kč.</w:t>
      </w:r>
    </w:p>
    <w:p w:rsidR="00036604" w:rsidRDefault="00036604" w:rsidP="004C0657">
      <w:pPr>
        <w:jc w:val="both"/>
      </w:pPr>
    </w:p>
    <w:p w:rsidR="00036604" w:rsidRPr="00A64C7D" w:rsidRDefault="00036604" w:rsidP="004C0657">
      <w:pPr>
        <w:ind w:left="360"/>
        <w:jc w:val="both"/>
        <w:rPr>
          <w:i/>
          <w:iCs/>
        </w:rPr>
      </w:pPr>
    </w:p>
    <w:p w:rsidR="00036604" w:rsidRPr="00602808" w:rsidRDefault="00036604" w:rsidP="004C0657">
      <w:pPr>
        <w:jc w:val="both"/>
        <w:rPr>
          <w:i/>
          <w:iCs/>
        </w:rPr>
      </w:pPr>
      <w:r w:rsidRPr="00A64C7D">
        <w:rPr>
          <w:i/>
          <w:iCs/>
        </w:rPr>
        <w:t>Přehled všech rozpočtových opatření z rozpočtu hl. m. Prahy ve vztahu k městským částem</w:t>
      </w:r>
      <w:r>
        <w:rPr>
          <w:i/>
          <w:iCs/>
        </w:rPr>
        <w:t xml:space="preserve"> k 31. 12. 2015</w:t>
      </w:r>
      <w:r w:rsidRPr="00A64C7D">
        <w:rPr>
          <w:i/>
          <w:iCs/>
        </w:rPr>
        <w:t xml:space="preserve">  je uveden v části III.5.3.</w:t>
      </w:r>
    </w:p>
    <w:p w:rsidR="00036604" w:rsidRDefault="00036604" w:rsidP="004C0657"/>
    <w:p w:rsidR="00036604" w:rsidRPr="006642A9" w:rsidRDefault="00036604" w:rsidP="004C0657">
      <w:pPr>
        <w:numPr>
          <w:ilvl w:val="0"/>
          <w:numId w:val="1"/>
        </w:numPr>
        <w:rPr>
          <w:b/>
        </w:rPr>
      </w:pPr>
      <w:r w:rsidRPr="006642A9">
        <w:rPr>
          <w:b/>
          <w:u w:val="single"/>
        </w:rPr>
        <w:t xml:space="preserve">Transfery z rozpočtu kraje  </w:t>
      </w:r>
      <w:r w:rsidRPr="006642A9">
        <w:rPr>
          <w:b/>
          <w:i/>
          <w:u w:val="single"/>
        </w:rPr>
        <w:t>(transfery z rozpočtu hl. m. Prahy ve funkci kraje)</w:t>
      </w:r>
    </w:p>
    <w:p w:rsidR="00036604" w:rsidRPr="006642A9" w:rsidRDefault="00036604" w:rsidP="004C0657">
      <w:pPr>
        <w:ind w:left="360" w:hanging="360"/>
        <w:jc w:val="both"/>
      </w:pPr>
      <w:r w:rsidRPr="006642A9">
        <w:t xml:space="preserve">      </w:t>
      </w:r>
    </w:p>
    <w:p w:rsidR="00036604" w:rsidRPr="006642A9" w:rsidRDefault="00036604" w:rsidP="004C0657">
      <w:pPr>
        <w:ind w:left="360"/>
        <w:jc w:val="both"/>
      </w:pPr>
      <w:r>
        <w:t>Jedná se o f</w:t>
      </w:r>
      <w:r w:rsidRPr="006642A9">
        <w:t>inanční prostředky, které jsou poskytovány městským částem v souladu s příslušnými usneseními Z</w:t>
      </w:r>
      <w:r>
        <w:t xml:space="preserve">astupitelstva hl. m. Prahy </w:t>
      </w:r>
      <w:r w:rsidRPr="006642A9">
        <w:t>jako spolufinancování projektů v rámci Operačního programu</w:t>
      </w:r>
      <w:r>
        <w:t xml:space="preserve"> Praha – Konkurenceschopnost a </w:t>
      </w:r>
      <w:r w:rsidRPr="006642A9">
        <w:t>Operačního programu Praha – Adaptabi</w:t>
      </w:r>
      <w:r>
        <w:t>lita. Zdroji těchto dotací jsou</w:t>
      </w:r>
      <w:r w:rsidRPr="006642A9">
        <w:t xml:space="preserve"> prostředky z Evropské unie, ze státního rozpočtu a z rozpočtu hl. m. Prahy. Jednotlivé zdroje jsou uvolňovány</w:t>
      </w:r>
      <w:r>
        <w:t xml:space="preserve"> v předem stanoveném poměru a</w:t>
      </w:r>
      <w:r w:rsidRPr="006642A9">
        <w:t xml:space="preserve"> jsou odlišeny účelovými znaky. K</w:t>
      </w:r>
      <w:r>
        <w:t> </w:t>
      </w:r>
      <w:r w:rsidRPr="006642A9">
        <w:t>3</w:t>
      </w:r>
      <w:r>
        <w:t>1. 12.</w:t>
      </w:r>
      <w:r w:rsidRPr="006642A9">
        <w:t> 201</w:t>
      </w:r>
      <w:r>
        <w:t xml:space="preserve">5 </w:t>
      </w:r>
      <w:r w:rsidRPr="006642A9">
        <w:t>bylo rozpočtově</w:t>
      </w:r>
      <w:r w:rsidRPr="00FC4806">
        <w:t xml:space="preserve"> poskytnuto MČ na projekty OPPK a OPPA</w:t>
      </w:r>
      <w:r>
        <w:t xml:space="preserve"> celkem 384 744,5 tis. Kč, z toho</w:t>
      </w:r>
      <w:r w:rsidRPr="00FC4806">
        <w:t xml:space="preserve"> f</w:t>
      </w:r>
      <w:r>
        <w:t>ormou neinvestičního transferu 29 178,3</w:t>
      </w:r>
      <w:r w:rsidRPr="00FC4806">
        <w:t xml:space="preserve"> tis. Kč</w:t>
      </w:r>
      <w:r>
        <w:t xml:space="preserve"> a formou i</w:t>
      </w:r>
      <w:r w:rsidRPr="00E94AFC">
        <w:t>nvestiční</w:t>
      </w:r>
      <w:r>
        <w:t>ho</w:t>
      </w:r>
      <w:r w:rsidRPr="00E94AFC">
        <w:t xml:space="preserve"> transfer</w:t>
      </w:r>
      <w:r>
        <w:t>u</w:t>
      </w:r>
      <w:r w:rsidRPr="00E94AFC">
        <w:t xml:space="preserve"> </w:t>
      </w:r>
      <w:r>
        <w:t>355 566,2</w:t>
      </w:r>
      <w:r w:rsidRPr="00E94AFC">
        <w:t xml:space="preserve"> tis. Kč</w:t>
      </w:r>
      <w:r>
        <w:t xml:space="preserve"> (viz část III </w:t>
      </w:r>
      <w:bookmarkStart w:id="0" w:name="_GoBack"/>
      <w:bookmarkEnd w:id="0"/>
      <w:r>
        <w:t>5.4.).</w:t>
      </w:r>
    </w:p>
    <w:p w:rsidR="00036604" w:rsidRDefault="00036604" w:rsidP="004C0657"/>
    <w:p w:rsidR="00036604" w:rsidRDefault="00036604" w:rsidP="004C0657"/>
    <w:p w:rsidR="00036604" w:rsidRDefault="00036604" w:rsidP="004C0657"/>
    <w:p w:rsidR="00036604" w:rsidRPr="00FC4806" w:rsidRDefault="00036604" w:rsidP="004C0657"/>
    <w:p w:rsidR="00036604" w:rsidRPr="00B82864" w:rsidRDefault="00036604" w:rsidP="004C0657">
      <w:pPr>
        <w:numPr>
          <w:ilvl w:val="0"/>
          <w:numId w:val="1"/>
        </w:numPr>
        <w:jc w:val="both"/>
        <w:rPr>
          <w:b/>
        </w:rPr>
      </w:pPr>
      <w:r w:rsidRPr="00B82864">
        <w:rPr>
          <w:b/>
          <w:u w:val="single"/>
        </w:rPr>
        <w:t>Transfery přijaté z území jiného kraje</w:t>
      </w:r>
    </w:p>
    <w:p w:rsidR="00036604" w:rsidRPr="00B82864" w:rsidRDefault="00036604" w:rsidP="004C0657">
      <w:pPr>
        <w:ind w:left="360"/>
        <w:jc w:val="both"/>
      </w:pPr>
    </w:p>
    <w:p w:rsidR="00036604" w:rsidRPr="00B82864" w:rsidRDefault="00036604" w:rsidP="004C0657">
      <w:pPr>
        <w:ind w:left="360"/>
        <w:jc w:val="both"/>
      </w:pPr>
      <w:r>
        <w:t>Transfery přijaté z území jiného kraje obdržely městské části v roce 2015 celkem ve výši 1 693,5 tis. Kč. Jednalo</w:t>
      </w:r>
      <w:r w:rsidRPr="00B82864">
        <w:t xml:space="preserve"> se o příspěvky na úhradu </w:t>
      </w:r>
      <w:r>
        <w:t xml:space="preserve">neinvestičních </w:t>
      </w:r>
      <w:r w:rsidRPr="00B82864">
        <w:t>nákladů za žáky z obcí jiného kraje navštěvují</w:t>
      </w:r>
      <w:r>
        <w:t>cí</w:t>
      </w:r>
      <w:r w:rsidRPr="00B82864">
        <w:t xml:space="preserve"> základní školu na území hl. m. Prahy</w:t>
      </w:r>
      <w:r>
        <w:t xml:space="preserve">, které obdržela </w:t>
      </w:r>
      <w:r w:rsidRPr="00B82864">
        <w:t xml:space="preserve">MČ Praha – Nebušice </w:t>
      </w:r>
      <w:r>
        <w:t xml:space="preserve">ve výši 412,7 tis. Kč </w:t>
      </w:r>
      <w:r w:rsidRPr="00B82864">
        <w:t xml:space="preserve">a MČ Praha – </w:t>
      </w:r>
      <w:r>
        <w:t>Satalice ve výši 940,2</w:t>
      </w:r>
      <w:r w:rsidRPr="00B82864">
        <w:t xml:space="preserve"> tis. Kč</w:t>
      </w:r>
      <w:r>
        <w:t>. A dále o t</w:t>
      </w:r>
      <w:r w:rsidRPr="00B82864">
        <w:t xml:space="preserve">ransfer ve výši </w:t>
      </w:r>
      <w:r>
        <w:t>340,6 t</w:t>
      </w:r>
      <w:r w:rsidRPr="00B82864">
        <w:t>is. Kč</w:t>
      </w:r>
      <w:r>
        <w:t>, který</w:t>
      </w:r>
      <w:r w:rsidRPr="00B82864">
        <w:t xml:space="preserve"> obdržela městská část Praha 1 z grantu Karlovarského kraje pro ZŠ Jiřího Gutha-Jarkovského na projekt „Interaktivní didaktické materiály pro ICT“.</w:t>
      </w:r>
    </w:p>
    <w:p w:rsidR="00036604" w:rsidRPr="008B336C" w:rsidRDefault="00036604" w:rsidP="004C0657">
      <w:pPr>
        <w:ind w:left="360"/>
        <w:jc w:val="both"/>
        <w:rPr>
          <w:highlight w:val="yellow"/>
        </w:rPr>
      </w:pPr>
    </w:p>
    <w:p w:rsidR="00036604" w:rsidRPr="008B336C" w:rsidRDefault="00036604" w:rsidP="004C0657">
      <w:pPr>
        <w:ind w:left="360"/>
        <w:jc w:val="both"/>
        <w:rPr>
          <w:highlight w:val="yellow"/>
        </w:rPr>
      </w:pPr>
    </w:p>
    <w:p w:rsidR="00036604" w:rsidRPr="00B82864" w:rsidRDefault="00036604" w:rsidP="004C0657">
      <w:pPr>
        <w:numPr>
          <w:ilvl w:val="0"/>
          <w:numId w:val="2"/>
        </w:numPr>
        <w:jc w:val="both"/>
        <w:rPr>
          <w:b/>
        </w:rPr>
      </w:pPr>
      <w:r w:rsidRPr="00B82864">
        <w:rPr>
          <w:b/>
          <w:u w:val="single"/>
        </w:rPr>
        <w:t>Transfery z rozpočtů městských částí hl. m. Prahy</w:t>
      </w:r>
    </w:p>
    <w:p w:rsidR="00036604" w:rsidRPr="00B82864" w:rsidRDefault="00036604" w:rsidP="004C0657">
      <w:pPr>
        <w:ind w:left="360" w:hanging="360"/>
        <w:jc w:val="both"/>
      </w:pPr>
      <w:r w:rsidRPr="00B82864">
        <w:t xml:space="preserve">      </w:t>
      </w:r>
    </w:p>
    <w:p w:rsidR="00036604" w:rsidRPr="00B876E6" w:rsidRDefault="00036604" w:rsidP="004C0657">
      <w:pPr>
        <w:ind w:left="360"/>
        <w:jc w:val="both"/>
      </w:pPr>
      <w:r w:rsidRPr="00F05BD0">
        <w:rPr>
          <w:b/>
        </w:rPr>
        <w:t xml:space="preserve">Neinvestiční transfery </w:t>
      </w:r>
      <w:r w:rsidRPr="00F05BD0">
        <w:t>z rozpočtů městsk</w:t>
      </w:r>
      <w:r>
        <w:t>ých částí ve</w:t>
      </w:r>
      <w:r w:rsidRPr="00F05BD0">
        <w:t xml:space="preserve"> výši 6</w:t>
      </w:r>
      <w:r>
        <w:t>71,1</w:t>
      </w:r>
      <w:r w:rsidRPr="00F05BD0">
        <w:t xml:space="preserve"> tis. Kč</w:t>
      </w:r>
      <w:r w:rsidRPr="00B82864">
        <w:t xml:space="preserve"> </w:t>
      </w:r>
      <w:r>
        <w:t xml:space="preserve">představují finanční prostředky, které byly poskytnuty městským částem z rozpočtů jiných městských částí hl. m. Prahy převážně jako příspěvek na sociální služby. </w:t>
      </w:r>
    </w:p>
    <w:p w:rsidR="00036604" w:rsidRDefault="00036604" w:rsidP="004C0657">
      <w:pPr>
        <w:jc w:val="both"/>
        <w:rPr>
          <w:b/>
          <w:u w:val="single"/>
        </w:rPr>
      </w:pPr>
    </w:p>
    <w:p w:rsidR="00036604" w:rsidRDefault="00036604" w:rsidP="004C0657">
      <w:pPr>
        <w:jc w:val="both"/>
        <w:rPr>
          <w:b/>
          <w:u w:val="single"/>
        </w:rPr>
      </w:pPr>
    </w:p>
    <w:p w:rsidR="00036604" w:rsidRPr="00B82864" w:rsidRDefault="00036604" w:rsidP="004C0657">
      <w:pPr>
        <w:ind w:left="360"/>
        <w:jc w:val="both"/>
        <w:rPr>
          <w:b/>
        </w:rPr>
      </w:pPr>
      <w:r w:rsidRPr="00B82864">
        <w:rPr>
          <w:b/>
          <w:u w:val="single"/>
        </w:rPr>
        <w:t xml:space="preserve">Převody z vlastních fondů </w:t>
      </w:r>
    </w:p>
    <w:p w:rsidR="00036604" w:rsidRDefault="00036604" w:rsidP="004C0657">
      <w:pPr>
        <w:ind w:left="360" w:hanging="360"/>
        <w:jc w:val="both"/>
      </w:pPr>
      <w:r w:rsidRPr="00B82864">
        <w:t xml:space="preserve">      </w:t>
      </w:r>
      <w:r>
        <w:t>V roce 2015 byly převody z vlastních fondů realizovány ve výši 3 293 157,3 tis. Kč tj.</w:t>
      </w:r>
      <w:r w:rsidRPr="00B82864">
        <w:t xml:space="preserve"> </w:t>
      </w:r>
      <w:r>
        <w:t>na úrovni 63,43</w:t>
      </w:r>
      <w:r w:rsidRPr="00B82864">
        <w:t> % RU</w:t>
      </w:r>
      <w:r>
        <w:t xml:space="preserve">, z toho převody ze zdaňované činnosti činily 3 289 525,5 tis. Kč a převody z ostatních fondů 3 631,8 tis. Kč.  </w:t>
      </w:r>
    </w:p>
    <w:p w:rsidR="00036604" w:rsidRDefault="00036604" w:rsidP="004C0657">
      <w:pPr>
        <w:jc w:val="both"/>
        <w:rPr>
          <w:b/>
          <w:u w:val="single"/>
        </w:rPr>
      </w:pPr>
    </w:p>
    <w:p w:rsidR="00036604" w:rsidRDefault="00036604" w:rsidP="004C0657">
      <w:pPr>
        <w:jc w:val="both"/>
        <w:rPr>
          <w:b/>
          <w:u w:val="single"/>
        </w:rPr>
      </w:pPr>
    </w:p>
    <w:p w:rsidR="00036604" w:rsidRPr="0002403A" w:rsidRDefault="00036604" w:rsidP="004C0657">
      <w:pPr>
        <w:numPr>
          <w:ilvl w:val="0"/>
          <w:numId w:val="4"/>
        </w:numPr>
        <w:tabs>
          <w:tab w:val="num" w:pos="0"/>
        </w:tabs>
        <w:ind w:left="360" w:firstLine="0"/>
        <w:jc w:val="both"/>
        <w:rPr>
          <w:b/>
        </w:rPr>
      </w:pPr>
      <w:r>
        <w:rPr>
          <w:b/>
          <w:u w:val="single"/>
        </w:rPr>
        <w:t>Transfery ze zahraničí</w:t>
      </w:r>
    </w:p>
    <w:p w:rsidR="00036604" w:rsidRDefault="00036604" w:rsidP="004C0657">
      <w:pPr>
        <w:jc w:val="both"/>
        <w:rPr>
          <w:b/>
        </w:rPr>
      </w:pPr>
    </w:p>
    <w:p w:rsidR="00036604" w:rsidRDefault="00036604" w:rsidP="004C0657">
      <w:pPr>
        <w:ind w:left="360"/>
        <w:jc w:val="both"/>
      </w:pPr>
    </w:p>
    <w:p w:rsidR="00036604" w:rsidRDefault="00036604" w:rsidP="008C589E">
      <w:pPr>
        <w:ind w:left="360"/>
        <w:jc w:val="both"/>
      </w:pPr>
      <w:r>
        <w:t xml:space="preserve">Neinvestiční transfery ze zahraničí byly městským částem poskytnuty ve výši 8 011,8 tis. Kč, z toho získala Městská část Praha 11 finanční prostředky ve výši 4 139,2 tis. Kč na projekt EPOurban a EnerCity na zajišťování výměnných akcí, seminářů a zahraničních služebních cest pracovníků úřadu, konaných v rámci mezinárodní spolupráce v oblasti zaměřené na energetické úspory a ekologii, Městská část Praha 9 získala z Evropského regionálního rozvojového fondu INVOLVE  974,5 tis. Kč, z Evropského regionálního rozvojového fondu CITY REGIONS částku 977,9 tis. Kč a z fondu Evropa pro občany 255,6 tis. Kč. Finanční prostředky ve výši 500,2 tis. Kč obdržela MČ Praha Suchdol na projekt přeshraniční spolupráce EPTA od partnera z Itálie. MČ Praha 14 získala 840,9 tis. Kč v rámci mezinárodního programu i.e. SMART na projekt na podporu začínajících podnikatelů v regionu.  MČ Praha 16 obdržela pro kino z projektu Europe Cinemas 165,9 tis. Kč. </w:t>
      </w:r>
    </w:p>
    <w:p w:rsidR="00036604" w:rsidRDefault="00036604" w:rsidP="008C589E">
      <w:pPr>
        <w:ind w:left="360"/>
        <w:jc w:val="both"/>
      </w:pPr>
    </w:p>
    <w:p w:rsidR="00036604" w:rsidRDefault="00036604" w:rsidP="008C589E">
      <w:pPr>
        <w:ind w:left="360"/>
        <w:jc w:val="both"/>
      </w:pPr>
      <w:r>
        <w:t xml:space="preserve">Investiční transfer ze zahraničí získala pouze MČ Praha – Suchdol ve výši 157,6 tis. Kč na </w:t>
      </w:r>
    </w:p>
    <w:p w:rsidR="00036604" w:rsidRDefault="00036604" w:rsidP="008C589E">
      <w:pPr>
        <w:ind w:left="360"/>
        <w:jc w:val="both"/>
        <w:rPr>
          <w:color w:val="3366FF"/>
        </w:rPr>
      </w:pPr>
      <w:r>
        <w:t>projekt přeshraniční spolupráce EPTA od partnera z Itálie.</w:t>
      </w:r>
    </w:p>
    <w:p w:rsidR="00036604" w:rsidRPr="004C0657" w:rsidRDefault="00036604" w:rsidP="004347B3">
      <w:pPr>
        <w:ind w:left="360"/>
        <w:jc w:val="both"/>
        <w:rPr>
          <w:b/>
        </w:rPr>
      </w:pPr>
    </w:p>
    <w:p w:rsidR="00036604" w:rsidRPr="000D7311" w:rsidRDefault="00036604">
      <w:pPr>
        <w:ind w:left="360" w:hanging="360"/>
        <w:jc w:val="both"/>
        <w:rPr>
          <w:color w:val="3366FF"/>
        </w:rPr>
      </w:pPr>
    </w:p>
    <w:sectPr w:rsidR="00036604" w:rsidRPr="000D7311" w:rsidSect="009161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04" w:rsidRDefault="00036604" w:rsidP="00556FB1">
      <w:r>
        <w:separator/>
      </w:r>
    </w:p>
  </w:endnote>
  <w:endnote w:type="continuationSeparator" w:id="0">
    <w:p w:rsidR="00036604" w:rsidRDefault="00036604" w:rsidP="00556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04" w:rsidRDefault="00036604">
    <w:pPr>
      <w:pStyle w:val="Footer"/>
      <w:jc w:val="center"/>
    </w:pPr>
    <w:fldSimple w:instr="PAGE   \* MERGEFORMAT">
      <w:r>
        <w:rPr>
          <w:noProof/>
        </w:rPr>
        <w:t>6</w:t>
      </w:r>
    </w:fldSimple>
  </w:p>
  <w:p w:rsidR="00036604" w:rsidRDefault="00036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04" w:rsidRDefault="00036604" w:rsidP="00556FB1">
      <w:r>
        <w:separator/>
      </w:r>
    </w:p>
  </w:footnote>
  <w:footnote w:type="continuationSeparator" w:id="0">
    <w:p w:rsidR="00036604" w:rsidRDefault="00036604" w:rsidP="00556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251F"/>
    <w:multiLevelType w:val="hybridMultilevel"/>
    <w:tmpl w:val="7B2CBA08"/>
    <w:lvl w:ilvl="0" w:tplc="14321786">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A6786E"/>
    <w:multiLevelType w:val="hybridMultilevel"/>
    <w:tmpl w:val="4CBAE9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4B147AF"/>
    <w:multiLevelType w:val="hybridMultilevel"/>
    <w:tmpl w:val="F38E2DDA"/>
    <w:lvl w:ilvl="0" w:tplc="14321786">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267322"/>
    <w:multiLevelType w:val="hybridMultilevel"/>
    <w:tmpl w:val="DE68BD7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37445E67"/>
    <w:multiLevelType w:val="hybridMultilevel"/>
    <w:tmpl w:val="CD5CDD6A"/>
    <w:lvl w:ilvl="0" w:tplc="369EC40E">
      <w:numFmt w:val="bullet"/>
      <w:lvlText w:val="-"/>
      <w:lvlJc w:val="left"/>
      <w:pPr>
        <w:ind w:left="720" w:hanging="360"/>
      </w:pPr>
      <w:rPr>
        <w:rFonts w:ascii="Times New Roman" w:eastAsia="Times New Roman" w:hAnsi="Times New Roman" w:hint="default"/>
        <w:u w:val="singl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8EF4954"/>
    <w:multiLevelType w:val="hybridMultilevel"/>
    <w:tmpl w:val="3604C7F2"/>
    <w:lvl w:ilvl="0" w:tplc="F740FCAE">
      <w:numFmt w:val="bullet"/>
      <w:lvlText w:val="-"/>
      <w:lvlJc w:val="left"/>
      <w:pPr>
        <w:tabs>
          <w:tab w:val="num" w:pos="780"/>
        </w:tabs>
        <w:ind w:left="780" w:hanging="360"/>
      </w:pPr>
      <w:rPr>
        <w:rFonts w:ascii="Times New Roman" w:eastAsia="Times New Roman" w:hAnsi="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nsid w:val="5F22553F"/>
    <w:multiLevelType w:val="hybridMultilevel"/>
    <w:tmpl w:val="183E5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E086AD6"/>
    <w:multiLevelType w:val="hybridMultilevel"/>
    <w:tmpl w:val="9E1AFA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7B750F5F"/>
    <w:multiLevelType w:val="hybridMultilevel"/>
    <w:tmpl w:val="AADE927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3"/>
  </w:num>
  <w:num w:numId="5">
    <w:abstractNumId w:val="6"/>
  </w:num>
  <w:num w:numId="6">
    <w:abstractNumId w:val="4"/>
  </w:num>
  <w:num w:numId="7">
    <w:abstractNumId w:val="1"/>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6D8"/>
    <w:rsid w:val="00011D3D"/>
    <w:rsid w:val="0001249C"/>
    <w:rsid w:val="0002403A"/>
    <w:rsid w:val="000319D9"/>
    <w:rsid w:val="00032800"/>
    <w:rsid w:val="00032EDC"/>
    <w:rsid w:val="00034401"/>
    <w:rsid w:val="0003575A"/>
    <w:rsid w:val="00036604"/>
    <w:rsid w:val="00037CE8"/>
    <w:rsid w:val="000403A9"/>
    <w:rsid w:val="00041649"/>
    <w:rsid w:val="0004341A"/>
    <w:rsid w:val="0004425C"/>
    <w:rsid w:val="000447D5"/>
    <w:rsid w:val="0005095B"/>
    <w:rsid w:val="00055521"/>
    <w:rsid w:val="000602E8"/>
    <w:rsid w:val="00060D9A"/>
    <w:rsid w:val="00061F18"/>
    <w:rsid w:val="00062611"/>
    <w:rsid w:val="00066080"/>
    <w:rsid w:val="00070501"/>
    <w:rsid w:val="00070585"/>
    <w:rsid w:val="00082914"/>
    <w:rsid w:val="000842FF"/>
    <w:rsid w:val="00086A7C"/>
    <w:rsid w:val="00092F72"/>
    <w:rsid w:val="00096338"/>
    <w:rsid w:val="00096966"/>
    <w:rsid w:val="00097F89"/>
    <w:rsid w:val="000A17E3"/>
    <w:rsid w:val="000A3EAE"/>
    <w:rsid w:val="000A424C"/>
    <w:rsid w:val="000A433E"/>
    <w:rsid w:val="000A7B06"/>
    <w:rsid w:val="000A7D7B"/>
    <w:rsid w:val="000B2EC1"/>
    <w:rsid w:val="000B42BA"/>
    <w:rsid w:val="000B697D"/>
    <w:rsid w:val="000C4D0D"/>
    <w:rsid w:val="000D0E19"/>
    <w:rsid w:val="000D4FD9"/>
    <w:rsid w:val="000D7311"/>
    <w:rsid w:val="000E1BE2"/>
    <w:rsid w:val="000E58D7"/>
    <w:rsid w:val="000E74D5"/>
    <w:rsid w:val="000F47D1"/>
    <w:rsid w:val="0010339D"/>
    <w:rsid w:val="00111D0F"/>
    <w:rsid w:val="00113991"/>
    <w:rsid w:val="0011442B"/>
    <w:rsid w:val="00114D39"/>
    <w:rsid w:val="001205CF"/>
    <w:rsid w:val="00121CE4"/>
    <w:rsid w:val="0012287E"/>
    <w:rsid w:val="00122DAD"/>
    <w:rsid w:val="001315A0"/>
    <w:rsid w:val="00135831"/>
    <w:rsid w:val="00135B2A"/>
    <w:rsid w:val="001412C8"/>
    <w:rsid w:val="00141B8A"/>
    <w:rsid w:val="00145133"/>
    <w:rsid w:val="00146C2B"/>
    <w:rsid w:val="00150AEF"/>
    <w:rsid w:val="00151289"/>
    <w:rsid w:val="00153AC1"/>
    <w:rsid w:val="00160D2E"/>
    <w:rsid w:val="00163344"/>
    <w:rsid w:val="0016347F"/>
    <w:rsid w:val="00164830"/>
    <w:rsid w:val="00165849"/>
    <w:rsid w:val="00172F50"/>
    <w:rsid w:val="0017770D"/>
    <w:rsid w:val="00183696"/>
    <w:rsid w:val="0018626B"/>
    <w:rsid w:val="00186850"/>
    <w:rsid w:val="00190B45"/>
    <w:rsid w:val="00192BC6"/>
    <w:rsid w:val="001B3AC0"/>
    <w:rsid w:val="001B5D5A"/>
    <w:rsid w:val="001C229F"/>
    <w:rsid w:val="001C2A91"/>
    <w:rsid w:val="001C525C"/>
    <w:rsid w:val="001C54F6"/>
    <w:rsid w:val="001D56E9"/>
    <w:rsid w:val="001E0B26"/>
    <w:rsid w:val="001E18DF"/>
    <w:rsid w:val="001E484B"/>
    <w:rsid w:val="001E643E"/>
    <w:rsid w:val="001F3851"/>
    <w:rsid w:val="001F3C11"/>
    <w:rsid w:val="001F5B46"/>
    <w:rsid w:val="001F5CE2"/>
    <w:rsid w:val="001F5D51"/>
    <w:rsid w:val="0020250C"/>
    <w:rsid w:val="00202E52"/>
    <w:rsid w:val="00206E3A"/>
    <w:rsid w:val="002073F1"/>
    <w:rsid w:val="00210C2B"/>
    <w:rsid w:val="0021374D"/>
    <w:rsid w:val="00214766"/>
    <w:rsid w:val="002169A8"/>
    <w:rsid w:val="00217120"/>
    <w:rsid w:val="002201FD"/>
    <w:rsid w:val="002211A7"/>
    <w:rsid w:val="002213FB"/>
    <w:rsid w:val="00221F7B"/>
    <w:rsid w:val="002317D9"/>
    <w:rsid w:val="002323AD"/>
    <w:rsid w:val="00233082"/>
    <w:rsid w:val="002404B8"/>
    <w:rsid w:val="00241020"/>
    <w:rsid w:val="00245AA3"/>
    <w:rsid w:val="002464AE"/>
    <w:rsid w:val="00246EFC"/>
    <w:rsid w:val="00247547"/>
    <w:rsid w:val="0025231B"/>
    <w:rsid w:val="00263316"/>
    <w:rsid w:val="0026557C"/>
    <w:rsid w:val="0027459B"/>
    <w:rsid w:val="00280B7E"/>
    <w:rsid w:val="0028514B"/>
    <w:rsid w:val="002873F1"/>
    <w:rsid w:val="00290116"/>
    <w:rsid w:val="00291876"/>
    <w:rsid w:val="00291E75"/>
    <w:rsid w:val="00292A45"/>
    <w:rsid w:val="00293EAB"/>
    <w:rsid w:val="00295651"/>
    <w:rsid w:val="00297101"/>
    <w:rsid w:val="002A5D6C"/>
    <w:rsid w:val="002B2367"/>
    <w:rsid w:val="002B34E1"/>
    <w:rsid w:val="002B4092"/>
    <w:rsid w:val="002B55F2"/>
    <w:rsid w:val="002B6132"/>
    <w:rsid w:val="002C0C6F"/>
    <w:rsid w:val="002C38BD"/>
    <w:rsid w:val="002C3DCC"/>
    <w:rsid w:val="002C6872"/>
    <w:rsid w:val="002D2D75"/>
    <w:rsid w:val="002D66D8"/>
    <w:rsid w:val="002E3B51"/>
    <w:rsid w:val="002E6547"/>
    <w:rsid w:val="002E760E"/>
    <w:rsid w:val="002F058F"/>
    <w:rsid w:val="002F2E4B"/>
    <w:rsid w:val="002F478C"/>
    <w:rsid w:val="002F4A2C"/>
    <w:rsid w:val="0030036B"/>
    <w:rsid w:val="0030708B"/>
    <w:rsid w:val="0031150C"/>
    <w:rsid w:val="003143B9"/>
    <w:rsid w:val="00321A6E"/>
    <w:rsid w:val="003251FE"/>
    <w:rsid w:val="003266E3"/>
    <w:rsid w:val="003267F1"/>
    <w:rsid w:val="0033635A"/>
    <w:rsid w:val="003401FF"/>
    <w:rsid w:val="00345B83"/>
    <w:rsid w:val="003560AC"/>
    <w:rsid w:val="00356D56"/>
    <w:rsid w:val="003601F8"/>
    <w:rsid w:val="00361E20"/>
    <w:rsid w:val="00381B74"/>
    <w:rsid w:val="00386EF3"/>
    <w:rsid w:val="00391BB4"/>
    <w:rsid w:val="0039772C"/>
    <w:rsid w:val="003A5E1C"/>
    <w:rsid w:val="003B4CDF"/>
    <w:rsid w:val="003C1E2D"/>
    <w:rsid w:val="003C44FD"/>
    <w:rsid w:val="003C5336"/>
    <w:rsid w:val="003C7319"/>
    <w:rsid w:val="003D31D6"/>
    <w:rsid w:val="003D4ECF"/>
    <w:rsid w:val="003D7F7D"/>
    <w:rsid w:val="003E51A1"/>
    <w:rsid w:val="003E6592"/>
    <w:rsid w:val="003F0B4F"/>
    <w:rsid w:val="003F2465"/>
    <w:rsid w:val="003F6183"/>
    <w:rsid w:val="003F752A"/>
    <w:rsid w:val="00401438"/>
    <w:rsid w:val="00405451"/>
    <w:rsid w:val="00405C38"/>
    <w:rsid w:val="004065E1"/>
    <w:rsid w:val="00406657"/>
    <w:rsid w:val="00407A56"/>
    <w:rsid w:val="00410D28"/>
    <w:rsid w:val="004120DC"/>
    <w:rsid w:val="004172CC"/>
    <w:rsid w:val="00417AB5"/>
    <w:rsid w:val="00427E95"/>
    <w:rsid w:val="00432073"/>
    <w:rsid w:val="00432777"/>
    <w:rsid w:val="00432CD7"/>
    <w:rsid w:val="004347B3"/>
    <w:rsid w:val="00435C51"/>
    <w:rsid w:val="004370B2"/>
    <w:rsid w:val="0043744B"/>
    <w:rsid w:val="00437498"/>
    <w:rsid w:val="004417FF"/>
    <w:rsid w:val="00442DA8"/>
    <w:rsid w:val="004430CD"/>
    <w:rsid w:val="00443DFE"/>
    <w:rsid w:val="0046529A"/>
    <w:rsid w:val="00466417"/>
    <w:rsid w:val="004701A8"/>
    <w:rsid w:val="00471D86"/>
    <w:rsid w:val="004744B6"/>
    <w:rsid w:val="00474C20"/>
    <w:rsid w:val="00475993"/>
    <w:rsid w:val="004812BF"/>
    <w:rsid w:val="00481538"/>
    <w:rsid w:val="0048174E"/>
    <w:rsid w:val="004824A7"/>
    <w:rsid w:val="0049282A"/>
    <w:rsid w:val="0049291A"/>
    <w:rsid w:val="004946C2"/>
    <w:rsid w:val="004962AE"/>
    <w:rsid w:val="004972F9"/>
    <w:rsid w:val="004973B3"/>
    <w:rsid w:val="00497EBA"/>
    <w:rsid w:val="004A0476"/>
    <w:rsid w:val="004A20FD"/>
    <w:rsid w:val="004A35BE"/>
    <w:rsid w:val="004B0EE2"/>
    <w:rsid w:val="004B28BF"/>
    <w:rsid w:val="004B4EF0"/>
    <w:rsid w:val="004C0657"/>
    <w:rsid w:val="004C10D3"/>
    <w:rsid w:val="004C34E7"/>
    <w:rsid w:val="004C402C"/>
    <w:rsid w:val="004D2CF4"/>
    <w:rsid w:val="004E11D8"/>
    <w:rsid w:val="004E257E"/>
    <w:rsid w:val="004E4900"/>
    <w:rsid w:val="004E6071"/>
    <w:rsid w:val="004E7C5F"/>
    <w:rsid w:val="004F264A"/>
    <w:rsid w:val="004F2EE9"/>
    <w:rsid w:val="004F322D"/>
    <w:rsid w:val="004F43CC"/>
    <w:rsid w:val="004F4D86"/>
    <w:rsid w:val="004F6054"/>
    <w:rsid w:val="00502C4A"/>
    <w:rsid w:val="0050579B"/>
    <w:rsid w:val="005104E8"/>
    <w:rsid w:val="00512BFE"/>
    <w:rsid w:val="005161C0"/>
    <w:rsid w:val="0051722C"/>
    <w:rsid w:val="00524260"/>
    <w:rsid w:val="005250DA"/>
    <w:rsid w:val="00525AEA"/>
    <w:rsid w:val="0053073A"/>
    <w:rsid w:val="0053130E"/>
    <w:rsid w:val="005315CE"/>
    <w:rsid w:val="00531C3D"/>
    <w:rsid w:val="00536C7D"/>
    <w:rsid w:val="00537B29"/>
    <w:rsid w:val="00545D85"/>
    <w:rsid w:val="0055049E"/>
    <w:rsid w:val="00550513"/>
    <w:rsid w:val="00552C55"/>
    <w:rsid w:val="00556FB1"/>
    <w:rsid w:val="005655F3"/>
    <w:rsid w:val="0056795C"/>
    <w:rsid w:val="00571ADD"/>
    <w:rsid w:val="0057376D"/>
    <w:rsid w:val="00577C38"/>
    <w:rsid w:val="00586128"/>
    <w:rsid w:val="00587429"/>
    <w:rsid w:val="00592306"/>
    <w:rsid w:val="00596123"/>
    <w:rsid w:val="005A3030"/>
    <w:rsid w:val="005A3612"/>
    <w:rsid w:val="005A4557"/>
    <w:rsid w:val="005A5AB8"/>
    <w:rsid w:val="005A70A5"/>
    <w:rsid w:val="005B5979"/>
    <w:rsid w:val="005B5B62"/>
    <w:rsid w:val="005B6537"/>
    <w:rsid w:val="005B6DC4"/>
    <w:rsid w:val="005C1BB7"/>
    <w:rsid w:val="005C6C8C"/>
    <w:rsid w:val="005D1061"/>
    <w:rsid w:val="005D11F2"/>
    <w:rsid w:val="005D2062"/>
    <w:rsid w:val="005D35E0"/>
    <w:rsid w:val="005D6059"/>
    <w:rsid w:val="005E0B68"/>
    <w:rsid w:val="005E1800"/>
    <w:rsid w:val="005E340B"/>
    <w:rsid w:val="005E3835"/>
    <w:rsid w:val="005E40D1"/>
    <w:rsid w:val="005E50D1"/>
    <w:rsid w:val="005E7AC8"/>
    <w:rsid w:val="00600869"/>
    <w:rsid w:val="00602808"/>
    <w:rsid w:val="006038F6"/>
    <w:rsid w:val="006040DD"/>
    <w:rsid w:val="00607647"/>
    <w:rsid w:val="00607CFF"/>
    <w:rsid w:val="006127B9"/>
    <w:rsid w:val="006131FF"/>
    <w:rsid w:val="0061521E"/>
    <w:rsid w:val="006205CA"/>
    <w:rsid w:val="00623C38"/>
    <w:rsid w:val="00625F2F"/>
    <w:rsid w:val="006275AF"/>
    <w:rsid w:val="00632DAA"/>
    <w:rsid w:val="00635A83"/>
    <w:rsid w:val="0063696F"/>
    <w:rsid w:val="00641EC1"/>
    <w:rsid w:val="00643C1B"/>
    <w:rsid w:val="006441C3"/>
    <w:rsid w:val="00646DC2"/>
    <w:rsid w:val="00653F7B"/>
    <w:rsid w:val="00655705"/>
    <w:rsid w:val="00656816"/>
    <w:rsid w:val="00661BD0"/>
    <w:rsid w:val="0066212F"/>
    <w:rsid w:val="00663D78"/>
    <w:rsid w:val="00663F3B"/>
    <w:rsid w:val="006642A9"/>
    <w:rsid w:val="00667737"/>
    <w:rsid w:val="00672CDD"/>
    <w:rsid w:val="006912C6"/>
    <w:rsid w:val="006A1417"/>
    <w:rsid w:val="006A27C2"/>
    <w:rsid w:val="006A6437"/>
    <w:rsid w:val="006B02A7"/>
    <w:rsid w:val="006B3247"/>
    <w:rsid w:val="006B3B08"/>
    <w:rsid w:val="006B49B2"/>
    <w:rsid w:val="006C24FC"/>
    <w:rsid w:val="006C427E"/>
    <w:rsid w:val="006C520B"/>
    <w:rsid w:val="006D69AF"/>
    <w:rsid w:val="006E005C"/>
    <w:rsid w:val="006E55E3"/>
    <w:rsid w:val="006E7E7A"/>
    <w:rsid w:val="006F1D39"/>
    <w:rsid w:val="006F59D2"/>
    <w:rsid w:val="006F771B"/>
    <w:rsid w:val="00700A25"/>
    <w:rsid w:val="00702679"/>
    <w:rsid w:val="00702A4D"/>
    <w:rsid w:val="00702C78"/>
    <w:rsid w:val="00703889"/>
    <w:rsid w:val="0070595B"/>
    <w:rsid w:val="00706D24"/>
    <w:rsid w:val="00713ED6"/>
    <w:rsid w:val="007163E7"/>
    <w:rsid w:val="00721580"/>
    <w:rsid w:val="0072478B"/>
    <w:rsid w:val="00725526"/>
    <w:rsid w:val="00725F45"/>
    <w:rsid w:val="007304DC"/>
    <w:rsid w:val="00732D86"/>
    <w:rsid w:val="00732F8D"/>
    <w:rsid w:val="00733E93"/>
    <w:rsid w:val="00737B4D"/>
    <w:rsid w:val="00743244"/>
    <w:rsid w:val="0074577D"/>
    <w:rsid w:val="00751FD6"/>
    <w:rsid w:val="0076049A"/>
    <w:rsid w:val="0076584A"/>
    <w:rsid w:val="00772CAA"/>
    <w:rsid w:val="00775439"/>
    <w:rsid w:val="007756A0"/>
    <w:rsid w:val="00775F61"/>
    <w:rsid w:val="007855D8"/>
    <w:rsid w:val="00792C34"/>
    <w:rsid w:val="007972A9"/>
    <w:rsid w:val="007977D9"/>
    <w:rsid w:val="007A2B9A"/>
    <w:rsid w:val="007A683D"/>
    <w:rsid w:val="007B0059"/>
    <w:rsid w:val="007C2F7E"/>
    <w:rsid w:val="007C4088"/>
    <w:rsid w:val="007C477C"/>
    <w:rsid w:val="007C4BBD"/>
    <w:rsid w:val="007C6544"/>
    <w:rsid w:val="007C6EA8"/>
    <w:rsid w:val="007D08A1"/>
    <w:rsid w:val="007D5E60"/>
    <w:rsid w:val="007F08E9"/>
    <w:rsid w:val="007F15EA"/>
    <w:rsid w:val="007F2D1B"/>
    <w:rsid w:val="00801A4C"/>
    <w:rsid w:val="00803114"/>
    <w:rsid w:val="008139FD"/>
    <w:rsid w:val="008163C6"/>
    <w:rsid w:val="00822552"/>
    <w:rsid w:val="00823BFF"/>
    <w:rsid w:val="00826D84"/>
    <w:rsid w:val="00832D5B"/>
    <w:rsid w:val="008375BE"/>
    <w:rsid w:val="00844212"/>
    <w:rsid w:val="00851C17"/>
    <w:rsid w:val="00854121"/>
    <w:rsid w:val="00857835"/>
    <w:rsid w:val="00864362"/>
    <w:rsid w:val="00872663"/>
    <w:rsid w:val="0087436F"/>
    <w:rsid w:val="0087548E"/>
    <w:rsid w:val="00880939"/>
    <w:rsid w:val="00886044"/>
    <w:rsid w:val="00892AB4"/>
    <w:rsid w:val="008959F6"/>
    <w:rsid w:val="00896630"/>
    <w:rsid w:val="00896BAA"/>
    <w:rsid w:val="008A296E"/>
    <w:rsid w:val="008A4A41"/>
    <w:rsid w:val="008A68BC"/>
    <w:rsid w:val="008B01EF"/>
    <w:rsid w:val="008B14FE"/>
    <w:rsid w:val="008B336C"/>
    <w:rsid w:val="008B43AA"/>
    <w:rsid w:val="008B5592"/>
    <w:rsid w:val="008B7305"/>
    <w:rsid w:val="008C0E0B"/>
    <w:rsid w:val="008C370C"/>
    <w:rsid w:val="008C589E"/>
    <w:rsid w:val="008D0629"/>
    <w:rsid w:val="008D6B78"/>
    <w:rsid w:val="008E6202"/>
    <w:rsid w:val="008E737C"/>
    <w:rsid w:val="008F164C"/>
    <w:rsid w:val="008F568C"/>
    <w:rsid w:val="009115ED"/>
    <w:rsid w:val="009161D6"/>
    <w:rsid w:val="00921A2B"/>
    <w:rsid w:val="00924A3F"/>
    <w:rsid w:val="009308B2"/>
    <w:rsid w:val="00931CC9"/>
    <w:rsid w:val="009322F4"/>
    <w:rsid w:val="00937B79"/>
    <w:rsid w:val="00944B2B"/>
    <w:rsid w:val="00950E4F"/>
    <w:rsid w:val="00951416"/>
    <w:rsid w:val="009549F5"/>
    <w:rsid w:val="00955857"/>
    <w:rsid w:val="00956255"/>
    <w:rsid w:val="00963853"/>
    <w:rsid w:val="00964EB4"/>
    <w:rsid w:val="00971717"/>
    <w:rsid w:val="00971CF8"/>
    <w:rsid w:val="009724DB"/>
    <w:rsid w:val="00972CDE"/>
    <w:rsid w:val="00974A45"/>
    <w:rsid w:val="00975C4C"/>
    <w:rsid w:val="0098160E"/>
    <w:rsid w:val="009900B9"/>
    <w:rsid w:val="009A0222"/>
    <w:rsid w:val="009A2E3C"/>
    <w:rsid w:val="009A4F66"/>
    <w:rsid w:val="009A50A0"/>
    <w:rsid w:val="009A7F9C"/>
    <w:rsid w:val="009B0DAD"/>
    <w:rsid w:val="009B50CF"/>
    <w:rsid w:val="009B5B42"/>
    <w:rsid w:val="009B63AC"/>
    <w:rsid w:val="009B6825"/>
    <w:rsid w:val="009C0188"/>
    <w:rsid w:val="009D6233"/>
    <w:rsid w:val="009D64AA"/>
    <w:rsid w:val="009D7250"/>
    <w:rsid w:val="009E1C8D"/>
    <w:rsid w:val="009E7BC5"/>
    <w:rsid w:val="009F26D5"/>
    <w:rsid w:val="009F5FB5"/>
    <w:rsid w:val="00A02751"/>
    <w:rsid w:val="00A11180"/>
    <w:rsid w:val="00A163CF"/>
    <w:rsid w:val="00A255FF"/>
    <w:rsid w:val="00A31A2F"/>
    <w:rsid w:val="00A335D2"/>
    <w:rsid w:val="00A3552E"/>
    <w:rsid w:val="00A37D0D"/>
    <w:rsid w:val="00A426D6"/>
    <w:rsid w:val="00A437D4"/>
    <w:rsid w:val="00A51443"/>
    <w:rsid w:val="00A54943"/>
    <w:rsid w:val="00A54EAB"/>
    <w:rsid w:val="00A5706D"/>
    <w:rsid w:val="00A61EE4"/>
    <w:rsid w:val="00A64C7D"/>
    <w:rsid w:val="00A73DD4"/>
    <w:rsid w:val="00A80B32"/>
    <w:rsid w:val="00A835B5"/>
    <w:rsid w:val="00A83C3F"/>
    <w:rsid w:val="00A97F96"/>
    <w:rsid w:val="00AA2C07"/>
    <w:rsid w:val="00AA62DA"/>
    <w:rsid w:val="00AB2650"/>
    <w:rsid w:val="00AB53BE"/>
    <w:rsid w:val="00AC0737"/>
    <w:rsid w:val="00AC0D97"/>
    <w:rsid w:val="00AC3E78"/>
    <w:rsid w:val="00AC41FF"/>
    <w:rsid w:val="00AC5595"/>
    <w:rsid w:val="00AD1764"/>
    <w:rsid w:val="00AD303A"/>
    <w:rsid w:val="00AD3AB0"/>
    <w:rsid w:val="00AD4186"/>
    <w:rsid w:val="00AD5060"/>
    <w:rsid w:val="00AD7794"/>
    <w:rsid w:val="00AE1214"/>
    <w:rsid w:val="00AE34BA"/>
    <w:rsid w:val="00AE66D4"/>
    <w:rsid w:val="00AF6FA7"/>
    <w:rsid w:val="00B10673"/>
    <w:rsid w:val="00B11C3E"/>
    <w:rsid w:val="00B152DF"/>
    <w:rsid w:val="00B16271"/>
    <w:rsid w:val="00B23FB8"/>
    <w:rsid w:val="00B372AF"/>
    <w:rsid w:val="00B42E0B"/>
    <w:rsid w:val="00B44717"/>
    <w:rsid w:val="00B464EE"/>
    <w:rsid w:val="00B524C0"/>
    <w:rsid w:val="00B533CE"/>
    <w:rsid w:val="00B53406"/>
    <w:rsid w:val="00B53BE6"/>
    <w:rsid w:val="00B5723B"/>
    <w:rsid w:val="00B62DCC"/>
    <w:rsid w:val="00B70456"/>
    <w:rsid w:val="00B725F8"/>
    <w:rsid w:val="00B81C36"/>
    <w:rsid w:val="00B82864"/>
    <w:rsid w:val="00B8756A"/>
    <w:rsid w:val="00B876E6"/>
    <w:rsid w:val="00B959F0"/>
    <w:rsid w:val="00BA2AEF"/>
    <w:rsid w:val="00BA6300"/>
    <w:rsid w:val="00BA6469"/>
    <w:rsid w:val="00BA673D"/>
    <w:rsid w:val="00BC1DDF"/>
    <w:rsid w:val="00BC50D2"/>
    <w:rsid w:val="00BC7C59"/>
    <w:rsid w:val="00BD2861"/>
    <w:rsid w:val="00BD2EC0"/>
    <w:rsid w:val="00BD4DBF"/>
    <w:rsid w:val="00BD7157"/>
    <w:rsid w:val="00BE2511"/>
    <w:rsid w:val="00BE403C"/>
    <w:rsid w:val="00BE54FE"/>
    <w:rsid w:val="00BE653E"/>
    <w:rsid w:val="00BF045F"/>
    <w:rsid w:val="00BF1DD6"/>
    <w:rsid w:val="00BF34F4"/>
    <w:rsid w:val="00BF4AF4"/>
    <w:rsid w:val="00BF6DBB"/>
    <w:rsid w:val="00C01479"/>
    <w:rsid w:val="00C016B8"/>
    <w:rsid w:val="00C02833"/>
    <w:rsid w:val="00C24BE7"/>
    <w:rsid w:val="00C255CC"/>
    <w:rsid w:val="00C309D6"/>
    <w:rsid w:val="00C325F0"/>
    <w:rsid w:val="00C37147"/>
    <w:rsid w:val="00C41D2E"/>
    <w:rsid w:val="00C57912"/>
    <w:rsid w:val="00C606C3"/>
    <w:rsid w:val="00C611D7"/>
    <w:rsid w:val="00C61310"/>
    <w:rsid w:val="00C658A3"/>
    <w:rsid w:val="00C72ED2"/>
    <w:rsid w:val="00C75873"/>
    <w:rsid w:val="00C770C6"/>
    <w:rsid w:val="00C819F2"/>
    <w:rsid w:val="00C9026F"/>
    <w:rsid w:val="00C91D35"/>
    <w:rsid w:val="00C93B39"/>
    <w:rsid w:val="00C948FD"/>
    <w:rsid w:val="00C973FC"/>
    <w:rsid w:val="00CA281D"/>
    <w:rsid w:val="00CC0031"/>
    <w:rsid w:val="00CC2C17"/>
    <w:rsid w:val="00CC4246"/>
    <w:rsid w:val="00CC6BA6"/>
    <w:rsid w:val="00CC76F4"/>
    <w:rsid w:val="00CD3804"/>
    <w:rsid w:val="00CD42B5"/>
    <w:rsid w:val="00CD42D5"/>
    <w:rsid w:val="00CD5AD5"/>
    <w:rsid w:val="00CD6AF8"/>
    <w:rsid w:val="00CE48E3"/>
    <w:rsid w:val="00CE4EB0"/>
    <w:rsid w:val="00CE6AF7"/>
    <w:rsid w:val="00CE7CC7"/>
    <w:rsid w:val="00CF1CD6"/>
    <w:rsid w:val="00CF28C0"/>
    <w:rsid w:val="00CF57FD"/>
    <w:rsid w:val="00D0198E"/>
    <w:rsid w:val="00D02864"/>
    <w:rsid w:val="00D21267"/>
    <w:rsid w:val="00D21FC5"/>
    <w:rsid w:val="00D22228"/>
    <w:rsid w:val="00D23D05"/>
    <w:rsid w:val="00D25CF2"/>
    <w:rsid w:val="00D26ECE"/>
    <w:rsid w:val="00D279DF"/>
    <w:rsid w:val="00D27FEF"/>
    <w:rsid w:val="00D33C2A"/>
    <w:rsid w:val="00D344B7"/>
    <w:rsid w:val="00D5291D"/>
    <w:rsid w:val="00D5459D"/>
    <w:rsid w:val="00D54F5D"/>
    <w:rsid w:val="00D57F57"/>
    <w:rsid w:val="00D66DBF"/>
    <w:rsid w:val="00D7160C"/>
    <w:rsid w:val="00D71E76"/>
    <w:rsid w:val="00D72A9E"/>
    <w:rsid w:val="00D72EAA"/>
    <w:rsid w:val="00D73641"/>
    <w:rsid w:val="00D73C74"/>
    <w:rsid w:val="00D75162"/>
    <w:rsid w:val="00D76490"/>
    <w:rsid w:val="00D77475"/>
    <w:rsid w:val="00D80ACA"/>
    <w:rsid w:val="00D817C6"/>
    <w:rsid w:val="00D82B88"/>
    <w:rsid w:val="00D8516F"/>
    <w:rsid w:val="00D85352"/>
    <w:rsid w:val="00D85932"/>
    <w:rsid w:val="00D85BB1"/>
    <w:rsid w:val="00D86BD3"/>
    <w:rsid w:val="00DA2BB0"/>
    <w:rsid w:val="00DA69F5"/>
    <w:rsid w:val="00DB5985"/>
    <w:rsid w:val="00DB5ED2"/>
    <w:rsid w:val="00DC10AC"/>
    <w:rsid w:val="00DC29AE"/>
    <w:rsid w:val="00DC31C7"/>
    <w:rsid w:val="00DD2F7F"/>
    <w:rsid w:val="00DD3B91"/>
    <w:rsid w:val="00DD609B"/>
    <w:rsid w:val="00DD6ED4"/>
    <w:rsid w:val="00DE1DD4"/>
    <w:rsid w:val="00DE3A47"/>
    <w:rsid w:val="00DE7321"/>
    <w:rsid w:val="00DF1525"/>
    <w:rsid w:val="00DF4912"/>
    <w:rsid w:val="00E008E7"/>
    <w:rsid w:val="00E0135E"/>
    <w:rsid w:val="00E02C11"/>
    <w:rsid w:val="00E03151"/>
    <w:rsid w:val="00E1309F"/>
    <w:rsid w:val="00E161B6"/>
    <w:rsid w:val="00E1627B"/>
    <w:rsid w:val="00E16D0E"/>
    <w:rsid w:val="00E171F6"/>
    <w:rsid w:val="00E17780"/>
    <w:rsid w:val="00E26C21"/>
    <w:rsid w:val="00E30069"/>
    <w:rsid w:val="00E30F2E"/>
    <w:rsid w:val="00E33553"/>
    <w:rsid w:val="00E47328"/>
    <w:rsid w:val="00E47485"/>
    <w:rsid w:val="00E476EE"/>
    <w:rsid w:val="00E511A9"/>
    <w:rsid w:val="00E558C8"/>
    <w:rsid w:val="00E61961"/>
    <w:rsid w:val="00E65E4B"/>
    <w:rsid w:val="00E713A4"/>
    <w:rsid w:val="00E728FD"/>
    <w:rsid w:val="00E7430D"/>
    <w:rsid w:val="00E754EB"/>
    <w:rsid w:val="00E83986"/>
    <w:rsid w:val="00E91E5B"/>
    <w:rsid w:val="00E94AFC"/>
    <w:rsid w:val="00E9504C"/>
    <w:rsid w:val="00E9563E"/>
    <w:rsid w:val="00E95823"/>
    <w:rsid w:val="00EA4289"/>
    <w:rsid w:val="00EA505B"/>
    <w:rsid w:val="00EA5969"/>
    <w:rsid w:val="00EA7116"/>
    <w:rsid w:val="00EA7D6D"/>
    <w:rsid w:val="00EB0689"/>
    <w:rsid w:val="00EB78FD"/>
    <w:rsid w:val="00EC1DD7"/>
    <w:rsid w:val="00EC6FBD"/>
    <w:rsid w:val="00ED2BA8"/>
    <w:rsid w:val="00ED5BFA"/>
    <w:rsid w:val="00EE1DE5"/>
    <w:rsid w:val="00EE3A19"/>
    <w:rsid w:val="00EE71CD"/>
    <w:rsid w:val="00EE7653"/>
    <w:rsid w:val="00EE7A26"/>
    <w:rsid w:val="00EF0523"/>
    <w:rsid w:val="00F00465"/>
    <w:rsid w:val="00F05BD0"/>
    <w:rsid w:val="00F15883"/>
    <w:rsid w:val="00F169A6"/>
    <w:rsid w:val="00F16AD8"/>
    <w:rsid w:val="00F175DC"/>
    <w:rsid w:val="00F1785A"/>
    <w:rsid w:val="00F20AF9"/>
    <w:rsid w:val="00F34611"/>
    <w:rsid w:val="00F352BA"/>
    <w:rsid w:val="00F370C2"/>
    <w:rsid w:val="00F37DFB"/>
    <w:rsid w:val="00F412AF"/>
    <w:rsid w:val="00F416AC"/>
    <w:rsid w:val="00F437AC"/>
    <w:rsid w:val="00F44C5A"/>
    <w:rsid w:val="00F4510D"/>
    <w:rsid w:val="00F45F0C"/>
    <w:rsid w:val="00F46734"/>
    <w:rsid w:val="00F521DD"/>
    <w:rsid w:val="00F53EE0"/>
    <w:rsid w:val="00F5571B"/>
    <w:rsid w:val="00F61C8C"/>
    <w:rsid w:val="00F62D4D"/>
    <w:rsid w:val="00F638B8"/>
    <w:rsid w:val="00F644DA"/>
    <w:rsid w:val="00F6467A"/>
    <w:rsid w:val="00F672DB"/>
    <w:rsid w:val="00F74874"/>
    <w:rsid w:val="00F748F9"/>
    <w:rsid w:val="00F74C28"/>
    <w:rsid w:val="00F823E2"/>
    <w:rsid w:val="00F82CEE"/>
    <w:rsid w:val="00F849F2"/>
    <w:rsid w:val="00F86629"/>
    <w:rsid w:val="00F86F05"/>
    <w:rsid w:val="00F87738"/>
    <w:rsid w:val="00F90233"/>
    <w:rsid w:val="00FB165E"/>
    <w:rsid w:val="00FB1F89"/>
    <w:rsid w:val="00FB2FBE"/>
    <w:rsid w:val="00FB655E"/>
    <w:rsid w:val="00FC032A"/>
    <w:rsid w:val="00FC0E38"/>
    <w:rsid w:val="00FC1995"/>
    <w:rsid w:val="00FC4374"/>
    <w:rsid w:val="00FC4806"/>
    <w:rsid w:val="00FC61D5"/>
    <w:rsid w:val="00FC7B52"/>
    <w:rsid w:val="00FD236F"/>
    <w:rsid w:val="00FD3485"/>
    <w:rsid w:val="00FE0758"/>
    <w:rsid w:val="00FE1F92"/>
    <w:rsid w:val="00FE3413"/>
    <w:rsid w:val="00FE721E"/>
    <w:rsid w:val="00FE7CAA"/>
    <w:rsid w:val="00FF5942"/>
    <w:rsid w:val="00FF5B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47D1"/>
    <w:rPr>
      <w:rFonts w:ascii="Tahoma" w:hAnsi="Tahoma" w:cs="Tahoma"/>
      <w:sz w:val="16"/>
      <w:szCs w:val="16"/>
    </w:rPr>
  </w:style>
  <w:style w:type="character" w:customStyle="1" w:styleId="BalloonTextChar">
    <w:name w:val="Balloon Text Char"/>
    <w:basedOn w:val="DefaultParagraphFont"/>
    <w:link w:val="BalloonText"/>
    <w:uiPriority w:val="99"/>
    <w:semiHidden/>
    <w:rsid w:val="00E152D6"/>
    <w:rPr>
      <w:sz w:val="0"/>
      <w:szCs w:val="0"/>
    </w:rPr>
  </w:style>
  <w:style w:type="paragraph" w:styleId="BodyText">
    <w:name w:val="Body Text"/>
    <w:basedOn w:val="Normal"/>
    <w:link w:val="BodyTextChar"/>
    <w:uiPriority w:val="99"/>
    <w:rsid w:val="00937B79"/>
    <w:pPr>
      <w:spacing w:after="120"/>
    </w:pPr>
  </w:style>
  <w:style w:type="character" w:customStyle="1" w:styleId="BodyTextChar">
    <w:name w:val="Body Text Char"/>
    <w:basedOn w:val="DefaultParagraphFont"/>
    <w:link w:val="BodyText"/>
    <w:uiPriority w:val="99"/>
    <w:semiHidden/>
    <w:rsid w:val="00E152D6"/>
    <w:rPr>
      <w:sz w:val="24"/>
      <w:szCs w:val="24"/>
    </w:rPr>
  </w:style>
  <w:style w:type="paragraph" w:styleId="NormalWeb">
    <w:name w:val="Normal (Web)"/>
    <w:basedOn w:val="Normal"/>
    <w:uiPriority w:val="99"/>
    <w:rsid w:val="00937B79"/>
    <w:pPr>
      <w:spacing w:before="100" w:beforeAutospacing="1" w:after="100" w:afterAutospacing="1"/>
    </w:pPr>
  </w:style>
  <w:style w:type="paragraph" w:styleId="DocumentMap">
    <w:name w:val="Document Map"/>
    <w:basedOn w:val="Normal"/>
    <w:link w:val="DocumentMapChar"/>
    <w:uiPriority w:val="99"/>
    <w:semiHidden/>
    <w:rsid w:val="005161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152D6"/>
    <w:rPr>
      <w:sz w:val="0"/>
      <w:szCs w:val="0"/>
    </w:rPr>
  </w:style>
  <w:style w:type="paragraph" w:styleId="Header">
    <w:name w:val="header"/>
    <w:basedOn w:val="Normal"/>
    <w:link w:val="HeaderChar"/>
    <w:uiPriority w:val="99"/>
    <w:rsid w:val="00556FB1"/>
    <w:pPr>
      <w:tabs>
        <w:tab w:val="center" w:pos="4536"/>
        <w:tab w:val="right" w:pos="9072"/>
      </w:tabs>
    </w:pPr>
  </w:style>
  <w:style w:type="character" w:customStyle="1" w:styleId="HeaderChar">
    <w:name w:val="Header Char"/>
    <w:basedOn w:val="DefaultParagraphFont"/>
    <w:link w:val="Header"/>
    <w:uiPriority w:val="99"/>
    <w:locked/>
    <w:rsid w:val="00556FB1"/>
    <w:rPr>
      <w:rFonts w:cs="Times New Roman"/>
      <w:sz w:val="24"/>
      <w:szCs w:val="24"/>
    </w:rPr>
  </w:style>
  <w:style w:type="paragraph" w:styleId="Footer">
    <w:name w:val="footer"/>
    <w:basedOn w:val="Normal"/>
    <w:link w:val="FooterChar"/>
    <w:uiPriority w:val="99"/>
    <w:rsid w:val="00556FB1"/>
    <w:pPr>
      <w:tabs>
        <w:tab w:val="center" w:pos="4536"/>
        <w:tab w:val="right" w:pos="9072"/>
      </w:tabs>
    </w:pPr>
  </w:style>
  <w:style w:type="character" w:customStyle="1" w:styleId="FooterChar">
    <w:name w:val="Footer Char"/>
    <w:basedOn w:val="DefaultParagraphFont"/>
    <w:link w:val="Footer"/>
    <w:uiPriority w:val="99"/>
    <w:locked/>
    <w:rsid w:val="00556FB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821233872">
      <w:marLeft w:val="0"/>
      <w:marRight w:val="0"/>
      <w:marTop w:val="0"/>
      <w:marBottom w:val="0"/>
      <w:divBdr>
        <w:top w:val="none" w:sz="0" w:space="0" w:color="auto"/>
        <w:left w:val="none" w:sz="0" w:space="0" w:color="auto"/>
        <w:bottom w:val="none" w:sz="0" w:space="0" w:color="auto"/>
        <w:right w:val="none" w:sz="0" w:space="0" w:color="auto"/>
      </w:divBdr>
    </w:div>
    <w:div w:id="821233873">
      <w:marLeft w:val="0"/>
      <w:marRight w:val="0"/>
      <w:marTop w:val="0"/>
      <w:marBottom w:val="0"/>
      <w:divBdr>
        <w:top w:val="none" w:sz="0" w:space="0" w:color="auto"/>
        <w:left w:val="none" w:sz="0" w:space="0" w:color="auto"/>
        <w:bottom w:val="none" w:sz="0" w:space="0" w:color="auto"/>
        <w:right w:val="none" w:sz="0" w:space="0" w:color="auto"/>
      </w:divBdr>
    </w:div>
    <w:div w:id="821233874">
      <w:marLeft w:val="0"/>
      <w:marRight w:val="0"/>
      <w:marTop w:val="0"/>
      <w:marBottom w:val="0"/>
      <w:divBdr>
        <w:top w:val="none" w:sz="0" w:space="0" w:color="auto"/>
        <w:left w:val="none" w:sz="0" w:space="0" w:color="auto"/>
        <w:bottom w:val="none" w:sz="0" w:space="0" w:color="auto"/>
        <w:right w:val="none" w:sz="0" w:space="0" w:color="auto"/>
      </w:divBdr>
    </w:div>
    <w:div w:id="821233875">
      <w:marLeft w:val="0"/>
      <w:marRight w:val="0"/>
      <w:marTop w:val="0"/>
      <w:marBottom w:val="0"/>
      <w:divBdr>
        <w:top w:val="none" w:sz="0" w:space="0" w:color="auto"/>
        <w:left w:val="none" w:sz="0" w:space="0" w:color="auto"/>
        <w:bottom w:val="none" w:sz="0" w:space="0" w:color="auto"/>
        <w:right w:val="none" w:sz="0" w:space="0" w:color="auto"/>
      </w:divBdr>
    </w:div>
    <w:div w:id="821233876">
      <w:marLeft w:val="0"/>
      <w:marRight w:val="0"/>
      <w:marTop w:val="0"/>
      <w:marBottom w:val="0"/>
      <w:divBdr>
        <w:top w:val="none" w:sz="0" w:space="0" w:color="auto"/>
        <w:left w:val="none" w:sz="0" w:space="0" w:color="auto"/>
        <w:bottom w:val="none" w:sz="0" w:space="0" w:color="auto"/>
        <w:right w:val="none" w:sz="0" w:space="0" w:color="auto"/>
      </w:divBdr>
    </w:div>
    <w:div w:id="821233877">
      <w:marLeft w:val="0"/>
      <w:marRight w:val="0"/>
      <w:marTop w:val="0"/>
      <w:marBottom w:val="0"/>
      <w:divBdr>
        <w:top w:val="none" w:sz="0" w:space="0" w:color="auto"/>
        <w:left w:val="none" w:sz="0" w:space="0" w:color="auto"/>
        <w:bottom w:val="none" w:sz="0" w:space="0" w:color="auto"/>
        <w:right w:val="none" w:sz="0" w:space="0" w:color="auto"/>
      </w:divBdr>
    </w:div>
    <w:div w:id="821233878">
      <w:marLeft w:val="0"/>
      <w:marRight w:val="0"/>
      <w:marTop w:val="0"/>
      <w:marBottom w:val="0"/>
      <w:divBdr>
        <w:top w:val="none" w:sz="0" w:space="0" w:color="auto"/>
        <w:left w:val="none" w:sz="0" w:space="0" w:color="auto"/>
        <w:bottom w:val="none" w:sz="0" w:space="0" w:color="auto"/>
        <w:right w:val="none" w:sz="0" w:space="0" w:color="auto"/>
      </w:divBdr>
    </w:div>
    <w:div w:id="821233879">
      <w:marLeft w:val="0"/>
      <w:marRight w:val="0"/>
      <w:marTop w:val="0"/>
      <w:marBottom w:val="0"/>
      <w:divBdr>
        <w:top w:val="none" w:sz="0" w:space="0" w:color="auto"/>
        <w:left w:val="none" w:sz="0" w:space="0" w:color="auto"/>
        <w:bottom w:val="none" w:sz="0" w:space="0" w:color="auto"/>
        <w:right w:val="none" w:sz="0" w:space="0" w:color="auto"/>
      </w:divBdr>
    </w:div>
    <w:div w:id="821233880">
      <w:marLeft w:val="0"/>
      <w:marRight w:val="0"/>
      <w:marTop w:val="0"/>
      <w:marBottom w:val="0"/>
      <w:divBdr>
        <w:top w:val="none" w:sz="0" w:space="0" w:color="auto"/>
        <w:left w:val="none" w:sz="0" w:space="0" w:color="auto"/>
        <w:bottom w:val="none" w:sz="0" w:space="0" w:color="auto"/>
        <w:right w:val="none" w:sz="0" w:space="0" w:color="auto"/>
      </w:divBdr>
    </w:div>
    <w:div w:id="821233881">
      <w:marLeft w:val="0"/>
      <w:marRight w:val="0"/>
      <w:marTop w:val="0"/>
      <w:marBottom w:val="0"/>
      <w:divBdr>
        <w:top w:val="none" w:sz="0" w:space="0" w:color="auto"/>
        <w:left w:val="none" w:sz="0" w:space="0" w:color="auto"/>
        <w:bottom w:val="none" w:sz="0" w:space="0" w:color="auto"/>
        <w:right w:val="none" w:sz="0" w:space="0" w:color="auto"/>
      </w:divBdr>
    </w:div>
    <w:div w:id="821233882">
      <w:marLeft w:val="0"/>
      <w:marRight w:val="0"/>
      <w:marTop w:val="0"/>
      <w:marBottom w:val="0"/>
      <w:divBdr>
        <w:top w:val="none" w:sz="0" w:space="0" w:color="auto"/>
        <w:left w:val="none" w:sz="0" w:space="0" w:color="auto"/>
        <w:bottom w:val="none" w:sz="0" w:space="0" w:color="auto"/>
        <w:right w:val="none" w:sz="0" w:space="0" w:color="auto"/>
      </w:divBdr>
    </w:div>
    <w:div w:id="821233883">
      <w:marLeft w:val="0"/>
      <w:marRight w:val="0"/>
      <w:marTop w:val="0"/>
      <w:marBottom w:val="0"/>
      <w:divBdr>
        <w:top w:val="none" w:sz="0" w:space="0" w:color="auto"/>
        <w:left w:val="none" w:sz="0" w:space="0" w:color="auto"/>
        <w:bottom w:val="none" w:sz="0" w:space="0" w:color="auto"/>
        <w:right w:val="none" w:sz="0" w:space="0" w:color="auto"/>
      </w:divBdr>
    </w:div>
    <w:div w:id="821233884">
      <w:marLeft w:val="0"/>
      <w:marRight w:val="0"/>
      <w:marTop w:val="0"/>
      <w:marBottom w:val="0"/>
      <w:divBdr>
        <w:top w:val="none" w:sz="0" w:space="0" w:color="auto"/>
        <w:left w:val="none" w:sz="0" w:space="0" w:color="auto"/>
        <w:bottom w:val="none" w:sz="0" w:space="0" w:color="auto"/>
        <w:right w:val="none" w:sz="0" w:space="0" w:color="auto"/>
      </w:divBdr>
    </w:div>
    <w:div w:id="821233885">
      <w:marLeft w:val="0"/>
      <w:marRight w:val="0"/>
      <w:marTop w:val="0"/>
      <w:marBottom w:val="0"/>
      <w:divBdr>
        <w:top w:val="none" w:sz="0" w:space="0" w:color="auto"/>
        <w:left w:val="none" w:sz="0" w:space="0" w:color="auto"/>
        <w:bottom w:val="none" w:sz="0" w:space="0" w:color="auto"/>
        <w:right w:val="none" w:sz="0" w:space="0" w:color="auto"/>
      </w:divBdr>
    </w:div>
    <w:div w:id="821233886">
      <w:marLeft w:val="0"/>
      <w:marRight w:val="0"/>
      <w:marTop w:val="0"/>
      <w:marBottom w:val="0"/>
      <w:divBdr>
        <w:top w:val="none" w:sz="0" w:space="0" w:color="auto"/>
        <w:left w:val="none" w:sz="0" w:space="0" w:color="auto"/>
        <w:bottom w:val="none" w:sz="0" w:space="0" w:color="auto"/>
        <w:right w:val="none" w:sz="0" w:space="0" w:color="auto"/>
      </w:divBdr>
    </w:div>
    <w:div w:id="821233887">
      <w:marLeft w:val="0"/>
      <w:marRight w:val="0"/>
      <w:marTop w:val="0"/>
      <w:marBottom w:val="0"/>
      <w:divBdr>
        <w:top w:val="none" w:sz="0" w:space="0" w:color="auto"/>
        <w:left w:val="none" w:sz="0" w:space="0" w:color="auto"/>
        <w:bottom w:val="none" w:sz="0" w:space="0" w:color="auto"/>
        <w:right w:val="none" w:sz="0" w:space="0" w:color="auto"/>
      </w:divBdr>
    </w:div>
    <w:div w:id="821233888">
      <w:marLeft w:val="0"/>
      <w:marRight w:val="0"/>
      <w:marTop w:val="0"/>
      <w:marBottom w:val="0"/>
      <w:divBdr>
        <w:top w:val="none" w:sz="0" w:space="0" w:color="auto"/>
        <w:left w:val="none" w:sz="0" w:space="0" w:color="auto"/>
        <w:bottom w:val="none" w:sz="0" w:space="0" w:color="auto"/>
        <w:right w:val="none" w:sz="0" w:space="0" w:color="auto"/>
      </w:divBdr>
    </w:div>
    <w:div w:id="821233889">
      <w:marLeft w:val="0"/>
      <w:marRight w:val="0"/>
      <w:marTop w:val="0"/>
      <w:marBottom w:val="0"/>
      <w:divBdr>
        <w:top w:val="none" w:sz="0" w:space="0" w:color="auto"/>
        <w:left w:val="none" w:sz="0" w:space="0" w:color="auto"/>
        <w:bottom w:val="none" w:sz="0" w:space="0" w:color="auto"/>
        <w:right w:val="none" w:sz="0" w:space="0" w:color="auto"/>
      </w:divBdr>
    </w:div>
    <w:div w:id="821233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6297</Words>
  <Characters>-32766</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INF</dc:creator>
  <cp:keywords/>
  <dc:description/>
  <cp:lastModifiedBy>Čeledová</cp:lastModifiedBy>
  <cp:revision>3</cp:revision>
  <cp:lastPrinted>2016-04-05T13:10:00Z</cp:lastPrinted>
  <dcterms:created xsi:type="dcterms:W3CDTF">2016-04-05T13:11:00Z</dcterms:created>
  <dcterms:modified xsi:type="dcterms:W3CDTF">2016-04-28T10:46:00Z</dcterms:modified>
</cp:coreProperties>
</file>